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065" w:type="dxa"/>
        <w:jc w:val="left"/>
        <w:tblInd w:w="-791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782"/>
        <w:gridCol w:w="1590"/>
        <w:gridCol w:w="1753"/>
        <w:gridCol w:w="3915"/>
        <w:gridCol w:w="735"/>
        <w:gridCol w:w="1289"/>
      </w:tblGrid>
      <w:tr>
        <w:trPr>
          <w:trHeight w:val="721" w:hRule="atLeast"/>
        </w:trPr>
        <w:tc>
          <w:tcPr>
            <w:tcW w:w="78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ЛП включен в перечень ЖНВЛП</w:t>
            </w:r>
          </w:p>
        </w:tc>
        <w:tc>
          <w:tcPr>
            <w:tcW w:w="159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hyperlink r:id="rId2" w:tgtFrame="_blank">
              <w:r>
                <w:rPr>
                  <w:rStyle w:val="Style9"/>
                  <w:rFonts w:cs="Times New Roman" w:ascii="Times New Roman" w:hAnsi="Times New Roman"/>
                  <w:b/>
                  <w:color w:themeColor="text1" w:val="000000"/>
                  <w:sz w:val="20"/>
                  <w:szCs w:val="20"/>
                </w:rPr>
                <w:t>Код позиции КТРУ</w:t>
              </w:r>
            </w:hyperlink>
          </w:p>
        </w:tc>
        <w:tc>
          <w:tcPr>
            <w:tcW w:w="175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Международное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непатентованное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themeColor="text1" w:val="000000"/>
                <w:sz w:val="20"/>
                <w:szCs w:val="20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themeColor="text1" w:val="000000"/>
                <w:sz w:val="20"/>
                <w:szCs w:val="20"/>
              </w:rPr>
              <w:t>наименование</w:t>
            </w:r>
          </w:p>
        </w:tc>
        <w:tc>
          <w:tcPr>
            <w:tcW w:w="391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color w:themeColor="text1" w:val="000000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color w:themeColor="text1" w:val="000000"/>
                <w:sz w:val="20"/>
                <w:szCs w:val="20"/>
              </w:rPr>
              <w:t>Характеристики</w:t>
            </w:r>
          </w:p>
        </w:tc>
        <w:tc>
          <w:tcPr>
            <w:tcW w:w="735" w:type="dxa"/>
            <w:tcBorders>
              <w:top w:val="single" w:sz="8" w:space="0" w:color="000000"/>
              <w:bottom w:val="single" w:sz="4" w:space="0" w:color="000000"/>
              <w:right w:val="single" w:sz="4" w:space="0" w:color="000000"/>
            </w:tcBorders>
            <w:shd w:color="auto" w:fill="FDE9D9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1289" w:type="dxa"/>
            <w:tcBorders>
              <w:top w:val="single" w:sz="8" w:space="0" w:color="000000"/>
              <w:bottom w:val="single" w:sz="4" w:space="0" w:color="000000"/>
              <w:right w:val="single" w:sz="8" w:space="0" w:color="000000"/>
            </w:tcBorders>
            <w:shd w:color="auto" w:fill="FDE9D9" w:val="clear"/>
          </w:tcPr>
          <w:p>
            <w:pPr>
              <w:pStyle w:val="Normal"/>
              <w:widowControl w:val="false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 w:cs="Times New Roman"/>
                <w:b/>
                <w:color w:themeColor="accent6" w:themeTint="33" w:val="FDE9D9"/>
                <w:sz w:val="20"/>
                <w:szCs w:val="20"/>
              </w:rPr>
            </w:pPr>
            <w:r>
              <w:rPr>
                <w:rFonts w:cs="Times New Roman" w:ascii="Times New Roman" w:hAnsi="Times New Roman"/>
                <w:b/>
                <w:sz w:val="20"/>
                <w:szCs w:val="20"/>
              </w:rPr>
              <w:t>Общее количество к поставке</w:t>
            </w:r>
          </w:p>
        </w:tc>
      </w:tr>
      <w:tr>
        <w:trPr>
          <w:trHeight w:val="1125" w:hRule="atLeast"/>
        </w:trPr>
        <w:tc>
          <w:tcPr>
            <w:tcW w:w="782" w:type="dxa"/>
            <w:tcBorders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 w:eastAsia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</w:r>
          </w:p>
        </w:tc>
        <w:tc>
          <w:tcPr>
            <w:tcW w:w="159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3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21.20.10.261-000001-1-00062-0000000000000</w:t>
              </w:r>
            </w:hyperlink>
          </w:p>
        </w:tc>
        <w:tc>
          <w:tcPr>
            <w:tcW w:w="17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Диклофенак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нестероидные противовоспалительные средства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капли глазные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 ЕСКЛП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:1 мг/мл;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ГРЛС: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0,1%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 xml:space="preserve"> </w:t>
            </w: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мл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</w:r>
          </w:p>
        </w:tc>
        <w:tc>
          <w:tcPr>
            <w:tcW w:w="1289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10</w:t>
            </w:r>
          </w:p>
        </w:tc>
      </w:tr>
      <w:tr>
        <w:trPr>
          <w:trHeight w:val="2159" w:hRule="atLeast"/>
        </w:trPr>
        <w:tc>
          <w:tcPr>
            <w:tcW w:w="78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Cs/>
                <w:color w:val="000000"/>
                <w:sz w:val="20"/>
                <w:szCs w:val="20"/>
              </w:rPr>
              <w:t>Да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textAlignment w:val="baseline"/>
              <w:rPr/>
            </w:pPr>
            <w:hyperlink r:id="rId4" w:tgtFrame="_blank">
              <w:r>
                <w:rPr>
                  <w:rStyle w:val="Hyperlink"/>
                  <w:rFonts w:eastAsia="Times New Roman" w:cs="Times New Roman" w:ascii="Tinos" w:hAnsi="Tinos"/>
                  <w:bCs/>
                  <w:color w:val="000000"/>
                  <w:sz w:val="20"/>
                  <w:szCs w:val="20"/>
                </w:rPr>
                <w:t>21.20.10.253-000002-1-00005-0000000000000</w:t>
              </w:r>
            </w:hyperlink>
          </w:p>
        </w:tc>
        <w:tc>
          <w:tcPr>
            <w:tcW w:w="1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hd w:val="clear" w:color="auto" w:fill="FFFFFF"/>
              <w:spacing w:lineRule="auto" w:line="240" w:before="0" w:after="0"/>
              <w:jc w:val="center"/>
              <w:textAlignment w:val="baseline"/>
              <w:rPr>
                <w:rFonts w:ascii="Tinos" w:hAnsi="Tinos"/>
                <w:sz w:val="20"/>
                <w:szCs w:val="20"/>
              </w:rPr>
            </w:pPr>
            <w:r>
              <w:rPr>
                <w:rFonts w:ascii="Tinos" w:hAnsi="Tinos"/>
                <w:sz w:val="20"/>
                <w:szCs w:val="20"/>
              </w:rPr>
              <w:t>Йод+[Калия йодид+Глицерол]</w:t>
            </w:r>
          </w:p>
        </w:tc>
        <w:tc>
          <w:tcPr>
            <w:tcW w:w="3915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 w:eastAsia="Times New Roman" w:cs="Times New Roman"/>
                <w:color w:val="000000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Фармакотерапевтическая группа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препараты для лечения заболеваний горла; антибиотики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Лекарственная форма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: раствор для местного применения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iCs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b/>
                <w:color w:val="000000"/>
                <w:sz w:val="20"/>
                <w:szCs w:val="20"/>
              </w:rPr>
              <w:t>Дозировка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>ЕСКЛП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 xml:space="preserve">:10 мг/мл; </w:t>
            </w:r>
            <w:r>
              <w:rPr>
                <w:rFonts w:eastAsia="Times New Roman" w:cs="Times New Roman" w:ascii="Tinos" w:hAnsi="Tinos"/>
                <w:i/>
                <w:iCs/>
                <w:color w:val="000000"/>
                <w:sz w:val="20"/>
                <w:szCs w:val="20"/>
              </w:rPr>
              <w:t xml:space="preserve">ГРЛС: </w:t>
            </w: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~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cs="Times New Roman" w:ascii="Tinos" w:hAnsi="Tinos"/>
                <w:i/>
                <w:color w:val="000000"/>
                <w:sz w:val="20"/>
                <w:szCs w:val="20"/>
              </w:rPr>
              <w:t>Наличие в лекарственном препарате наркотических средств, психотропных веществ и их прекурсоров: Нет</w:t>
            </w:r>
          </w:p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i/>
                <w:color w:val="000000"/>
                <w:sz w:val="20"/>
                <w:szCs w:val="20"/>
              </w:rPr>
              <w:t>Остаточный срок годности: не менее 12 месяцев на момент поставки</w:t>
            </w:r>
          </w:p>
        </w:tc>
        <w:tc>
          <w:tcPr>
            <w:tcW w:w="73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color w:val="000000"/>
                <w:sz w:val="20"/>
                <w:szCs w:val="20"/>
              </w:rPr>
            </w:pPr>
            <w:r>
              <w:rPr>
                <w:rFonts w:ascii="Tinos" w:hAnsi="Tinos"/>
                <w:color w:val="000000"/>
                <w:sz w:val="20"/>
                <w:szCs w:val="20"/>
              </w:rPr>
              <w:t>мл</w:t>
            </w:r>
          </w:p>
        </w:tc>
        <w:tc>
          <w:tcPr>
            <w:tcW w:w="1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nos" w:hAnsi="Tinos"/>
                <w:sz w:val="20"/>
                <w:szCs w:val="20"/>
              </w:rPr>
            </w:pPr>
            <w:r>
              <w:rPr>
                <w:rFonts w:eastAsia="Times New Roman" w:cs="Times New Roman" w:ascii="Tinos" w:hAnsi="Tinos"/>
                <w:color w:val="000000"/>
                <w:sz w:val="20"/>
                <w:szCs w:val="20"/>
              </w:rPr>
              <w:t>100</w:t>
            </w:r>
          </w:p>
        </w:tc>
      </w:tr>
    </w:tbl>
    <w:p>
      <w:pPr>
        <w:pStyle w:val="footnote"/>
        <w:spacing w:lineRule="auto" w:line="240"/>
        <w:ind w:firstLine="708" w:left="-851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eastAsia="Arial" w:cs="Times New Roman" w:ascii="Times New Roman" w:hAnsi="Times New Roman"/>
          <w:sz w:val="20"/>
          <w:szCs w:val="20"/>
        </w:rPr>
        <w:t xml:space="preserve">           </w:t>
      </w:r>
      <w:r>
        <w:rPr>
          <w:rFonts w:eastAsia="Arial" w:cs="Times New Roman" w:ascii="Times New Roman" w:hAnsi="Times New Roman"/>
          <w:sz w:val="20"/>
          <w:szCs w:val="20"/>
        </w:rPr>
        <w:t>Согласно Постановлению Правительства № 1380 от 15.11.2017г. «Об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нужд», участник закупки вправе предложить: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sz w:val="20"/>
          <w:szCs w:val="20"/>
        </w:rPr>
        <w:t>- эквивалентные формы лекарственных форм и дозировок (эквивалентные дозировки не должны предусматривать деление твердых лекарственных форм);</w:t>
      </w:r>
    </w:p>
    <w:p>
      <w:pPr>
        <w:pStyle w:val="Normal"/>
        <w:suppressAutoHyphens w:val="false"/>
        <w:spacing w:lineRule="auto" w:line="240" w:before="0" w:after="0"/>
        <w:ind w:firstLine="709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- препарат с иной единицей    измерения дозировки (например, дозировка указана в процентах, участник вправе предложить препарат с дозировкой в мг/ мл.);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Поставка товара должна осуществляться в целых упаковках в соответствии с требованиями Федерального закона от 12.04.2010г. № 61-ФЗ «Об обращении лекарственных средств». При этом если количество товара, поставляемого Заказчику во вторичной (потребительской) упаковке, превышает количество товара, указанное в Контракте, поставка товара сверх количества осуществляется за счёт Поставщика.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    </w:t>
      </w:r>
      <w:r>
        <w:rPr>
          <w:rFonts w:cs="Times New Roman" w:ascii="Times New Roman" w:hAnsi="Times New Roman"/>
          <w:bCs/>
          <w:sz w:val="20"/>
          <w:szCs w:val="20"/>
        </w:rPr>
        <w:t>Поставляемый товар должен иметь инструкцию по медицинскому применению (листок-вкладыш) на русском языке, упаковочные листы.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 </w:t>
      </w:r>
      <w:r>
        <w:rPr>
          <w:rFonts w:cs="Times New Roman" w:ascii="Times New Roman" w:hAnsi="Times New Roman"/>
          <w:bCs/>
          <w:sz w:val="20"/>
          <w:szCs w:val="20"/>
        </w:rPr>
        <w:t xml:space="preserve">Поставщик обязан предоставить </w:t>
      </w:r>
      <w:r>
        <w:rPr>
          <w:rFonts w:cs="Times New Roman" w:ascii="Times New Roman" w:hAnsi="Times New Roman"/>
          <w:sz w:val="20"/>
          <w:szCs w:val="20"/>
        </w:rPr>
        <w:t xml:space="preserve">протокол согласования цен для лекарственных препаратов, включенных в перечень ЖНВЛП. </w:t>
      </w:r>
      <w:r>
        <w:rPr>
          <w:rFonts w:cs="Times New Roman" w:ascii="Times New Roman" w:hAnsi="Times New Roman"/>
          <w:bCs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          </w:t>
      </w:r>
      <w:r>
        <w:rPr>
          <w:rFonts w:cs="Times New Roman" w:ascii="Times New Roman" w:hAnsi="Times New Roman"/>
          <w:bCs/>
          <w:sz w:val="20"/>
          <w:szCs w:val="20"/>
        </w:rPr>
        <w:t>При поставке товара Поставщик обязан предоставить копии документов, подтверждающие качество товара в соответствии с действующим законодательством Российской Федерации.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bCs/>
          <w:sz w:val="20"/>
          <w:szCs w:val="20"/>
        </w:rPr>
        <w:t xml:space="preserve">          </w:t>
      </w:r>
      <w:r>
        <w:rPr>
          <w:rFonts w:eastAsia="Calibri" w:cs="Times New Roman" w:ascii="Times New Roman" w:hAnsi="Times New Roman"/>
          <w:bCs/>
          <w:sz w:val="20"/>
          <w:szCs w:val="20"/>
        </w:rPr>
        <w:t xml:space="preserve">   </w:t>
      </w:r>
      <w:r>
        <w:rPr>
          <w:rFonts w:eastAsia="Arial" w:cs="Times New Roman" w:ascii="Times New Roman" w:hAnsi="Times New Roman"/>
          <w:sz w:val="20"/>
          <w:szCs w:val="20"/>
        </w:rPr>
        <w:t>Поставленный товар, признанный недоброкачественным и (или) фальсифицированным и (или) контрафактным по решению Федеральной службы по надзору в сфере здравоохранения или решению суда, подлежит изъятию и уничтожению. При этом Поставщик по претензии Заказчика обязан возвратить стоимость оплаченного товара и компенсировать понесенные Заказчиком затраты по его изъятию и уничтожению.</w:t>
      </w:r>
      <w:r>
        <w:rPr>
          <w:rFonts w:eastAsia="Arial" w:cs="Times New Roman" w:ascii="Times New Roman" w:hAnsi="Times New Roman"/>
          <w:b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>
      <w:pPr>
        <w:pStyle w:val="Normal"/>
        <w:suppressAutoHyphens w:val="false"/>
        <w:spacing w:lineRule="auto" w:line="240" w:before="0" w:after="0"/>
        <w:ind w:firstLine="708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eastAsia="Arial" w:cs="Times New Roman" w:ascii="Times New Roman" w:hAnsi="Times New Roman"/>
          <w:bCs/>
          <w:sz w:val="20"/>
          <w:szCs w:val="20"/>
        </w:rPr>
        <w:t xml:space="preserve"> </w:t>
      </w:r>
      <w:r>
        <w:rPr>
          <w:rFonts w:eastAsia="Arial" w:cs="Times New Roman" w:ascii="Times New Roman" w:hAnsi="Times New Roman"/>
          <w:bCs/>
          <w:sz w:val="20"/>
          <w:szCs w:val="20"/>
        </w:rPr>
        <w:t>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товар.</w:t>
      </w:r>
    </w:p>
    <w:p>
      <w:pPr>
        <w:pStyle w:val="Normal"/>
        <w:suppressAutoHyphens w:val="false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      </w:t>
      </w:r>
      <w:r>
        <w:rPr>
          <w:rFonts w:cs="Times New Roman" w:ascii="Times New Roman" w:hAnsi="Times New Roman"/>
          <w:sz w:val="20"/>
          <w:szCs w:val="20"/>
        </w:rPr>
        <w:t>*Обоснование: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Потребность Заказчика определена исключительно исходя из назначений лечащих врачей. Каждому пациенту назначены лекарственные препараты в конкретных дозировках, исходя из тяжести и характера заболевания каждого пациента.</w:t>
      </w:r>
    </w:p>
    <w:p>
      <w:pPr>
        <w:pStyle w:val="Normal"/>
        <w:suppressAutoHyphens w:val="false"/>
        <w:spacing w:lineRule="auto" w:line="240" w:before="0" w:after="0"/>
        <w:ind w:firstLine="851"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 xml:space="preserve">Форма выпуска (первичная упаковка) является персонифицированной для каждого пациента больницы и необходима для достижения требуемого терапевтического эффекта, а также определена с учётом специфики лечебного учреждения и его деятельности (скорая медицинская помощь) и обеспечивает эффективное использование бюджетных средств. </w:t>
      </w:r>
    </w:p>
    <w:p>
      <w:pPr>
        <w:pStyle w:val="Normal"/>
        <w:spacing w:lineRule="auto" w:line="240" w:before="0" w:after="0"/>
        <w:ind w:left="-85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2867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Segoe UI">
    <w:charset w:val="01"/>
    <w:family w:val="swiss"/>
    <w:pitch w:val="default"/>
  </w:font>
  <w:font w:name="PT Astra Serif">
    <w:charset w:val="01"/>
    <w:family w:val="roman"/>
    <w:pitch w:val="default"/>
  </w:font>
  <w:font w:name="Arial"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01"/>
    <w:family w:val="roman"/>
    <w:pitch w:val="default"/>
  </w:font>
  <w:font w:name="Tinos"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f71a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uiPriority w:val="99"/>
    <w:unhideWhenUsed/>
    <w:rsid w:val="004e43df"/>
    <w:rPr>
      <w:color w:themeColor="hyperlink" w:val="0000FF"/>
      <w:u w:val="single"/>
    </w:rPr>
  </w:style>
  <w:style w:type="character" w:styleId="Style14" w:customStyle="1">
    <w:name w:val="Текст выноски Знак"/>
    <w:basedOn w:val="DefaultParagraphFont"/>
    <w:uiPriority w:val="99"/>
    <w:semiHidden/>
    <w:qFormat/>
    <w:rsid w:val="00354cff"/>
    <w:rPr>
      <w:rFonts w:ascii="Segoe UI" w:hAnsi="Segoe UI" w:cs="Segoe UI"/>
      <w:sz w:val="18"/>
      <w:szCs w:val="18"/>
    </w:rPr>
  </w:style>
  <w:style w:type="character" w:styleId="cardmaininfotitle" w:customStyle="1">
    <w:name w:val="cardmaininfo__title"/>
    <w:basedOn w:val="DefaultParagraphFont"/>
    <w:qFormat/>
    <w:rsid w:val="002e587a"/>
    <w:rPr/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ascii="PT Astra Serif" w:hAnsi="PT Astra Serif"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IndexHeading">
    <w:name w:val="index heading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1" w:customStyle="1">
    <w:name w:val="Заголовок1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footnote" w:customStyle="1">
    <w:name w:val="footnote"/>
    <w:basedOn w:val="Normal"/>
    <w:qFormat/>
    <w:rsid w:val="00af5aed"/>
    <w:pPr>
      <w:spacing w:lineRule="atLeast" w:line="220" w:before="0" w:after="0"/>
    </w:pPr>
    <w:rPr>
      <w:rFonts w:ascii="Arial" w:hAnsi="Arial" w:eastAsia="Arial" w:cs="Arial"/>
      <w:sz w:val="16"/>
      <w:szCs w:val="16"/>
    </w:rPr>
  </w:style>
  <w:style w:type="paragraph" w:styleId="BalloonText">
    <w:name w:val="Balloon Text"/>
    <w:basedOn w:val="Normal"/>
    <w:uiPriority w:val="99"/>
    <w:semiHidden/>
    <w:unhideWhenUsed/>
    <w:qFormat/>
    <w:rsid w:val="00354cff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Style17" w:customStyle="1">
    <w:name w:val="Содержимое таблицы"/>
    <w:basedOn w:val="Normal"/>
    <w:qFormat/>
    <w:rsid w:val="00e06d95"/>
    <w:pPr>
      <w:suppressLineNumbers/>
    </w:pPr>
    <w:rPr>
      <w:rFonts w:ascii="Calibri" w:hAnsi="Calibri" w:eastAsia="Calibri" w:cs="Times New Roman"/>
      <w:lang w:eastAsia="zh-CN"/>
    </w:rPr>
  </w:style>
  <w:style w:type="numbering" w:styleId="Style18" w:customStyle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zakupki.gov.ru/epz/ktru/medCard/commonInfo.html?extCode=d7e8d7af-c807-46cf-a0a7-53fdf0038883" TargetMode="External"/><Relationship Id="rId3" Type="http://schemas.openxmlformats.org/officeDocument/2006/relationships/hyperlink" Target="https://zakupki.gov.ru/epz/ktru/medCard/commonInfo.html?extCode=1edd38ac-bf5b-11e9-bd5d-17808eef482b" TargetMode="External"/><Relationship Id="rId4" Type="http://schemas.openxmlformats.org/officeDocument/2006/relationships/hyperlink" Target="https://zakupki.gov.ru/epz/ktru/medCard/commonInfo.html?extCode=cb9d6340-abec-11ea-981d-9346ede5a24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LibreOffice/24.8.4.2$Linux_X86_64 LibreOffice_project/480$Build-2</Application>
  <AppVersion>15.0000</AppVersion>
  <Pages>1</Pages>
  <Words>399</Words>
  <Characters>3069</Characters>
  <CharactersWithSpaces>4429</CharactersWithSpaces>
  <Paragraphs>40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2026-06-25T14:01:00Z</dcterms:created>
  <dc:creator>Янна</dc:creator>
  <dc:description/>
  <dc:language>ru-RU</dc:language>
  <cp:lastModifiedBy/>
  <cp:lastPrinted>2025-12-19T12:21:00Z</cp:lastPrinted>
  <dcterms:modified xsi:type="dcterms:W3CDTF">2026-07-01T09:50:56Z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