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065" w:type="dxa"/>
        <w:jc w:val="left"/>
        <w:tblInd w:w="-7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20"/>
        <w:gridCol w:w="1590"/>
        <w:gridCol w:w="1995"/>
        <w:gridCol w:w="3735"/>
        <w:gridCol w:w="856"/>
        <w:gridCol w:w="1168"/>
      </w:tblGrid>
      <w:tr>
        <w:trPr>
          <w:trHeight w:val="721" w:hRule="atLeast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hyperlink r:id="rId2" w:tgtFrame="_blank">
              <w:r>
                <w:rPr>
                  <w:rStyle w:val="Style9"/>
                  <w:rFonts w:cs="Times New Roman" w:ascii="Times New Roman" w:hAnsi="Times New Roman"/>
                  <w:b/>
                  <w:color w:themeColor="text1" w:val="000000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Международное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непатентованное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наименование</w:t>
            </w:r>
          </w:p>
        </w:tc>
        <w:tc>
          <w:tcPr>
            <w:tcW w:w="3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Характеристики</w:t>
            </w:r>
          </w:p>
        </w:tc>
        <w:tc>
          <w:tcPr>
            <w:tcW w:w="85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168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FDE9D9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color w:themeColor="accent6" w:themeTint="33" w:val="FDE9D9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>
        <w:trPr>
          <w:trHeight w:val="1125" w:hRule="atLeast"/>
        </w:trPr>
        <w:tc>
          <w:tcPr>
            <w:tcW w:w="72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3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21.20.10.112-000002-1-00078-0000000000000</w:t>
              </w:r>
            </w:hyperlink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Фамотидин</w:t>
            </w:r>
          </w:p>
        </w:tc>
        <w:tc>
          <w:tcPr>
            <w:tcW w:w="373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блокатор Н2-гистаминовых рецепторов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i/>
                <w:iCs/>
                <w:color w:val="000000"/>
                <w:sz w:val="20"/>
                <w:szCs w:val="20"/>
              </w:rPr>
              <w:t>ЕСКЛП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 xml:space="preserve">таблетки, покрытые оболочкой, </w:t>
            </w:r>
            <w:r>
              <w:rPr>
                <w:rFonts w:eastAsia="Times New Roman" w:cs="Times New Roman" w:ascii="Tinos" w:hAnsi="Tinos"/>
                <w:bCs/>
                <w:i/>
                <w:iCs/>
                <w:color w:val="000000"/>
                <w:sz w:val="20"/>
                <w:szCs w:val="20"/>
              </w:rPr>
              <w:t>ГРЛС: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 xml:space="preserve"> таблетки, покрытые пленочной оболочкой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 20 мг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2 000</w:t>
            </w:r>
          </w:p>
        </w:tc>
      </w:tr>
      <w:tr>
        <w:trPr>
          <w:trHeight w:val="2159" w:hRule="atLeast"/>
        </w:trPr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4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21.20.10.255-000002-1-00324-0000000000000</w:t>
              </w:r>
            </w:hyperlink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Амброксол</w:t>
            </w:r>
          </w:p>
        </w:tc>
        <w:tc>
          <w:tcPr>
            <w:tcW w:w="373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отхаркивающее муколитическое средство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раствор для приема внутрь и ингаляций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7,5 мг/мл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sz w:val="20"/>
                <w:szCs w:val="20"/>
              </w:rPr>
              <w:t>(см 3)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1 200</w:t>
            </w:r>
          </w:p>
        </w:tc>
      </w:tr>
      <w:tr>
        <w:trPr>
          <w:trHeight w:val="1125" w:hRule="atLeast"/>
        </w:trPr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5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21.20.10.236-000013-1-00101-0000000000000</w:t>
              </w:r>
            </w:hyperlink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  <w:lang w:val="en-US"/>
              </w:rPr>
            </w:pPr>
            <w:r>
              <w:rPr>
                <w:rFonts w:ascii="Tinos" w:hAnsi="Tinos"/>
                <w:sz w:val="20"/>
                <w:szCs w:val="20"/>
              </w:rPr>
              <w:t>Амитриптилин</w:t>
            </w:r>
          </w:p>
        </w:tc>
        <w:tc>
          <w:tcPr>
            <w:tcW w:w="3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 антидепрессант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форма: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 таблетки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00000"/>
                <w:sz w:val="20"/>
                <w:szCs w:val="20"/>
              </w:rPr>
              <w:t>Дозировка: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 25 мг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штука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1 000</w:t>
            </w:r>
          </w:p>
        </w:tc>
      </w:tr>
      <w:tr>
        <w:trPr>
          <w:trHeight w:val="1125" w:hRule="atLeast"/>
        </w:trPr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6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21.20.10.191-000074-1-00348-0000000000000</w:t>
              </w:r>
            </w:hyperlink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Ко-тримоксазол [Сульфаметоксазол+Триметоприм]</w:t>
            </w:r>
          </w:p>
        </w:tc>
        <w:tc>
          <w:tcPr>
            <w:tcW w:w="3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</w:t>
            </w:r>
            <w:r>
              <w:rPr>
                <w:rFonts w:cs="Times New Roman" w:ascii="Tinos" w:hAnsi="Tinos"/>
                <w:color w:val="000000"/>
                <w:sz w:val="20"/>
                <w:szCs w:val="20"/>
              </w:rPr>
              <w:t xml:space="preserve"> комбинированное противомикробное средство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форма: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 концентрат для приготовления р-ра для инфузий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00000"/>
                <w:sz w:val="20"/>
                <w:szCs w:val="20"/>
              </w:rPr>
              <w:t>Дозировка: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 80 мг + 16 мг/мл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sz w:val="20"/>
                <w:szCs w:val="20"/>
              </w:rPr>
              <w:t>(см 3)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1 500</w:t>
            </w:r>
          </w:p>
        </w:tc>
      </w:tr>
      <w:tr>
        <w:trPr>
          <w:trHeight w:val="1125" w:hRule="atLeast"/>
        </w:trPr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7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21.20.10.251-000001-1-00164-0000000000000</w:t>
              </w:r>
            </w:hyperlink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Ксилометазолин</w:t>
            </w:r>
          </w:p>
        </w:tc>
        <w:tc>
          <w:tcPr>
            <w:tcW w:w="3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sz w:val="20"/>
                <w:szCs w:val="20"/>
              </w:rPr>
              <w:t>:</w:t>
            </w:r>
            <w:r>
              <w:rPr>
                <w:rFonts w:cs="Times New Roman" w:ascii="Tinos" w:hAnsi="Tinos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противоконгестивное средство - вазоконстриктор (альфа-адреномиметик)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sz w:val="20"/>
                <w:szCs w:val="20"/>
              </w:rPr>
              <w:t xml:space="preserve">Лекарственная форма: 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капли назальные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bCs/>
                <w:sz w:val="20"/>
                <w:szCs w:val="20"/>
              </w:rPr>
              <w:t>Дозировка:</w:t>
            </w:r>
            <w:r>
              <w:rPr>
                <w:rFonts w:ascii="Tinos" w:hAnsi="Tinos"/>
                <w:color w:val="909EBB"/>
                <w:sz w:val="20"/>
                <w:szCs w:val="20"/>
                <w:shd w:fill="FFFFFF" w:val="clear"/>
              </w:rPr>
              <w:t xml:space="preserve">  </w:t>
            </w:r>
            <w:r>
              <w:rPr>
                <w:rFonts w:eastAsia="Times New Roman" w:cs="Times New Roman" w:ascii="Tinos" w:hAnsi="Tinos"/>
                <w:i/>
                <w:iCs/>
                <w:color w:val="000000"/>
                <w:sz w:val="20"/>
                <w:szCs w:val="20"/>
              </w:rPr>
              <w:t>ЕСКЛП: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 1 мг/мл; </w:t>
            </w:r>
            <w:r>
              <w:rPr>
                <w:rFonts w:eastAsia="Times New Roman" w:cs="Times New Roman" w:ascii="Tinos" w:hAnsi="Tinos"/>
                <w:i/>
                <w:iCs/>
                <w:color w:val="000000"/>
                <w:sz w:val="20"/>
                <w:szCs w:val="20"/>
              </w:rPr>
              <w:t xml:space="preserve">ГРЛС: 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0,1%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sz w:val="20"/>
                <w:szCs w:val="20"/>
              </w:rPr>
              <w:t>(см 3)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sz w:val="20"/>
                <w:szCs w:val="20"/>
              </w:rPr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2 000</w:t>
            </w:r>
          </w:p>
        </w:tc>
      </w:tr>
      <w:tr>
        <w:trPr>
          <w:trHeight w:val="1125" w:hRule="atLeast"/>
        </w:trPr>
        <w:tc>
          <w:tcPr>
            <w:tcW w:w="7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8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21.20.10.180-000003-1-00029-0000000000000</w:t>
              </w:r>
            </w:hyperlink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Метилпреднизолон</w:t>
            </w:r>
          </w:p>
        </w:tc>
        <w:tc>
          <w:tcPr>
            <w:tcW w:w="3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sz w:val="20"/>
                <w:szCs w:val="20"/>
              </w:rPr>
              <w:t>:</w:t>
            </w:r>
            <w:r>
              <w:rPr>
                <w:rFonts w:cs="Times New Roman" w:ascii="Tinos" w:hAnsi="Tinos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глюкокортикостероид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sz w:val="20"/>
                <w:szCs w:val="20"/>
              </w:rPr>
              <w:t xml:space="preserve">Лекарственная форма: 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лиофилизат для приготовления раствора для в/в и в/м введения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bCs/>
                <w:sz w:val="20"/>
                <w:szCs w:val="20"/>
              </w:rPr>
              <w:t>Дозировка:</w:t>
            </w:r>
            <w:r>
              <w:rPr>
                <w:rFonts w:ascii="Tinos" w:hAnsi="Tinos"/>
                <w:color w:val="909EBB"/>
                <w:sz w:val="20"/>
                <w:szCs w:val="20"/>
                <w:shd w:fill="FFFFFF" w:val="clear"/>
              </w:rPr>
              <w:t xml:space="preserve"> 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500 мг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sz w:val="20"/>
                <w:szCs w:val="20"/>
              </w:rPr>
              <w:t>мг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32 000</w:t>
            </w:r>
          </w:p>
        </w:tc>
      </w:tr>
    </w:tbl>
    <w:p>
      <w:pPr>
        <w:pStyle w:val="footnote"/>
        <w:spacing w:lineRule="auto" w:line="240"/>
        <w:ind w:firstLine="708" w:left="-851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eastAsia="Arial" w:cs="Times New Roman" w:ascii="Times New Roman" w:hAnsi="Times New Roman"/>
          <w:sz w:val="20"/>
          <w:szCs w:val="20"/>
        </w:rPr>
        <w:t xml:space="preserve">           </w:t>
      </w:r>
      <w:r>
        <w:rPr>
          <w:rFonts w:eastAsia="Arial" w:cs="Times New Roman" w:ascii="Times New Roman" w:hAnsi="Times New Roman"/>
          <w:sz w:val="20"/>
          <w:szCs w:val="20"/>
        </w:rPr>
        <w:t>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sz w:val="20"/>
          <w:szCs w:val="20"/>
        </w:rPr>
        <w:t>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>
      <w:pPr>
        <w:pStyle w:val="Normal"/>
        <w:suppressAutoHyphens w:val="false"/>
        <w:spacing w:lineRule="auto" w:line="240" w:before="0" w:after="0"/>
        <w:ind w:firstLine="709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    </w:t>
      </w:r>
      <w:r>
        <w:rPr>
          <w:rFonts w:cs="Times New Roman" w:ascii="Times New Roman" w:hAnsi="Times New Roman"/>
          <w:bCs/>
          <w:sz w:val="20"/>
          <w:szCs w:val="20"/>
        </w:rPr>
        <w:t>Поставляемый товар должен иметь инструкцию по медицинскому применению (листок-вкладыш) на русском языке, упаковочные листы.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</w:t>
      </w:r>
      <w:r>
        <w:rPr>
          <w:rFonts w:cs="Times New Roman" w:ascii="Times New Roman" w:hAnsi="Times New Roman"/>
          <w:bCs/>
          <w:sz w:val="20"/>
          <w:szCs w:val="20"/>
        </w:rPr>
        <w:t xml:space="preserve">Поставщик обязан предоставить </w:t>
      </w:r>
      <w:r>
        <w:rPr>
          <w:rFonts w:cs="Times New Roman" w:ascii="Times New Roman" w:hAnsi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cs="Times New Roman" w:ascii="Times New Roman" w:hAnsi="Times New Roman"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 </w:t>
      </w:r>
      <w:r>
        <w:rPr>
          <w:rFonts w:cs="Times New Roman" w:ascii="Times New Roman" w:hAnsi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</w:t>
      </w:r>
      <w:r>
        <w:rPr>
          <w:rFonts w:eastAsia="Calibri" w:cs="Times New Roman" w:ascii="Times New Roman" w:hAnsi="Times New Roman"/>
          <w:bCs/>
          <w:sz w:val="20"/>
          <w:szCs w:val="20"/>
        </w:rPr>
        <w:t xml:space="preserve">   </w:t>
      </w:r>
      <w:r>
        <w:rPr>
          <w:rFonts w:eastAsia="Arial" w:cs="Times New Roman" w:ascii="Times New Roman" w:hAnsi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eastAsia="Arial" w:cs="Times New Roman"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bCs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bCs/>
          <w:sz w:val="20"/>
          <w:szCs w:val="20"/>
        </w:rP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cs="Times New Roman" w:ascii="Times New Roman" w:hAnsi="Times New Roman"/>
          <w:sz w:val="20"/>
          <w:szCs w:val="20"/>
        </w:rPr>
        <w:t>*Обоснование: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footnote"/>
        <w:spacing w:lineRule="auto" w:line="24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Arial">
    <w:charset w:val="01"/>
    <w:family w:val="swiss"/>
    <w:pitch w:val="default"/>
  </w:font>
  <w:font w:name="Calibri">
    <w:charset w:val="01"/>
    <w:family w:val="swiss"/>
    <w:pitch w:val="default"/>
  </w:font>
  <w:font w:name="Times New Roman">
    <w:charset w:val="01"/>
    <w:family w:val="roman"/>
    <w:pitch w:val="default"/>
  </w:font>
  <w:font w:name="Tin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f71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4e43df"/>
    <w:rPr>
      <w:color w:themeColor="hyperlink" w:val="0000FF"/>
      <w:u w:val="single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styleId="cardmaininfotitle" w:customStyle="1">
    <w:name w:val="cardmaininfo__title"/>
    <w:basedOn w:val="DefaultParagraphFont"/>
    <w:qFormat/>
    <w:rsid w:val="002e587a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footnote" w:customStyle="1">
    <w:name w:val="footnote"/>
    <w:basedOn w:val="Normal"/>
    <w:qFormat/>
    <w:rsid w:val="00af5aed"/>
    <w:pPr>
      <w:spacing w:lineRule="atLeast" w:line="220" w:before="0" w:after="0"/>
    </w:pPr>
    <w:rPr>
      <w:rFonts w:ascii="Arial" w:hAnsi="Arial" w:eastAsia="Arial" w:cs="Arial"/>
      <w:sz w:val="16"/>
      <w:szCs w:val="16"/>
    </w:rPr>
  </w:style>
  <w:style w:type="paragraph" w:styleId="BalloonText">
    <w:name w:val="Balloon Text"/>
    <w:basedOn w:val="Normal"/>
    <w:uiPriority w:val="99"/>
    <w:semiHidden/>
    <w:unhideWhenUsed/>
    <w:qFormat/>
    <w:rsid w:val="00354c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7" w:customStyle="1">
    <w:name w:val="Содержимое таблицы"/>
    <w:basedOn w:val="Normal"/>
    <w:qFormat/>
    <w:rsid w:val="00e06d95"/>
    <w:pPr>
      <w:suppressLineNumbers/>
    </w:pPr>
    <w:rPr>
      <w:rFonts w:ascii="Calibri" w:hAnsi="Calibri" w:eastAsia="Calibri" w:cs="Times New Roman"/>
      <w:lang w:eastAsia="zh-CN"/>
    </w:rPr>
  </w:style>
  <w:style w:type="numbering" w:styleId="Style18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epz/ktru/medCard/commonInfo.html?extCode=d7e8d7af-c807-46cf-a0a7-53fdf0038883" TargetMode="External"/><Relationship Id="rId3" Type="http://schemas.openxmlformats.org/officeDocument/2006/relationships/hyperlink" Target="https://zakupki.gov.ru/epz/ktru/medCard/commonInfo.html?extCode=1ee07e54-bf5b-11e9-bd5d-dbc2ef28ba34" TargetMode="External"/><Relationship Id="rId4" Type="http://schemas.openxmlformats.org/officeDocument/2006/relationships/hyperlink" Target="https://zakupki.gov.ru/epz/ktru/medCard/commonInfo.html?extCode=7c7924ca-1de8-11eb-91e1-53a09e9e1f43" TargetMode="External"/><Relationship Id="rId5" Type="http://schemas.openxmlformats.org/officeDocument/2006/relationships/hyperlink" Target="https://zakupki.gov.ru/epz/ktru/medCard/commonInfo.html?extCode=1edb9c2c-bf5b-11e9-bd5d-e7ff145453e1" TargetMode="External"/><Relationship Id="rId6" Type="http://schemas.openxmlformats.org/officeDocument/2006/relationships/hyperlink" Target="https://zakupki.gov.ru/epz/ktru/medCard/commonInfo.html?extCode=1ee4d206-bf5b-11e9-bd5d-77dff6cbdf98" TargetMode="External"/><Relationship Id="rId7" Type="http://schemas.openxmlformats.org/officeDocument/2006/relationships/hyperlink" Target="https://zakupki.gov.ru/epz/ktru/medCard/commonInfo.html?extCode=1ee413ca-bf5b-11e9-bd5d-b7b93b56941b" TargetMode="External"/><Relationship Id="rId8" Type="http://schemas.openxmlformats.org/officeDocument/2006/relationships/hyperlink" Target="https://zakupki.gov.ru/epz/ktru/medCard/commonInfo.html?extCode=1ee1c26e-bf5b-11e9-bd5d-abc15e23b8bb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LibreOffice/24.8.4.2$Linux_X86_64 LibreOffice_project/480$Build-2</Application>
  <AppVersion>15.0000</AppVersion>
  <Pages>2</Pages>
  <Words>583</Words>
  <Characters>4471</Characters>
  <CharactersWithSpaces>5972</CharactersWithSpaces>
  <Paragraphs>83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2026-06-25T08:57:00Z</dcterms:created>
  <dc:creator>Янна</dc:creator>
  <dc:description/>
  <dc:language>ru-RU</dc:language>
  <cp:lastModifiedBy/>
  <cp:lastPrinted>2025-12-19T12:21:00Z</cp:lastPrinted>
  <dcterms:modified xsi:type="dcterms:W3CDTF">2026-07-01T13:17:57Z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