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5A1" w:rsidRPr="006356B6" w:rsidRDefault="008E0774" w:rsidP="00981C41">
      <w:pPr>
        <w:ind w:left="-425" w:hanging="1"/>
        <w:jc w:val="right"/>
        <w:rPr>
          <w:sz w:val="22"/>
          <w:lang w:val="ru-RU"/>
        </w:rPr>
      </w:pPr>
      <w:r w:rsidRPr="006356B6">
        <w:rPr>
          <w:sz w:val="22"/>
          <w:lang w:val="ru-RU"/>
        </w:rPr>
        <w:t>Приложение № 1</w:t>
      </w:r>
      <w:r w:rsidRPr="006356B6">
        <w:rPr>
          <w:sz w:val="22"/>
          <w:lang w:val="ru-RU"/>
        </w:rPr>
        <w:br/>
        <w:t>к Техническому заданию</w:t>
      </w:r>
    </w:p>
    <w:p w:rsidR="00AC389A" w:rsidRPr="00AC389A" w:rsidRDefault="00AC389A" w:rsidP="00AC389A">
      <w:pPr>
        <w:spacing w:before="320" w:after="240"/>
        <w:jc w:val="center"/>
        <w:rPr>
          <w:rFonts w:eastAsia="MS Mincho" w:cs="Times New Roman"/>
          <w:sz w:val="22"/>
          <w:lang w:val="ru-RU"/>
        </w:rPr>
      </w:pPr>
      <w:r w:rsidRPr="00AC389A">
        <w:rPr>
          <w:rFonts w:eastAsia="MS Mincho" w:cs="Times New Roman"/>
          <w:b/>
          <w:sz w:val="22"/>
          <w:lang w:val="ru-RU"/>
        </w:rPr>
        <w:t>ЗАДАНИЕ НА ПРОЕКТИРОВАНИЕ</w:t>
      </w:r>
      <w:r w:rsidRPr="00AC389A">
        <w:rPr>
          <w:rFonts w:eastAsia="MS Mincho" w:cs="Times New Roman"/>
          <w:b/>
          <w:sz w:val="22"/>
          <w:lang w:val="ru-RU"/>
        </w:rPr>
        <w:br/>
        <w:t>Система контроля и управления доступом (СКУД)</w:t>
      </w:r>
    </w:p>
    <w:p w:rsidR="00AC389A" w:rsidRPr="00AC389A" w:rsidRDefault="00AC389A" w:rsidP="00AC389A">
      <w:pPr>
        <w:spacing w:before="120" w:after="240"/>
        <w:ind w:firstLine="709"/>
        <w:jc w:val="both"/>
        <w:rPr>
          <w:rFonts w:eastAsia="MS Mincho" w:cs="Times New Roman"/>
          <w:sz w:val="22"/>
          <w:lang w:val="ru-RU"/>
        </w:rPr>
      </w:pPr>
      <w:r w:rsidRPr="00AC389A">
        <w:rPr>
          <w:rFonts w:eastAsia="MS Mincho" w:cs="Times New Roman"/>
          <w:b/>
          <w:sz w:val="22"/>
          <w:lang w:val="ru-RU"/>
        </w:rPr>
        <w:t xml:space="preserve">1. Основание для оснащения: </w:t>
      </w:r>
      <w:r w:rsidRPr="00AC389A">
        <w:rPr>
          <w:rFonts w:eastAsia="MS Mincho" w:cs="Times New Roman"/>
          <w:sz w:val="22"/>
          <w:lang w:val="ru-RU"/>
        </w:rPr>
        <w:t>Закон Санкт-Петербурга от 29.11.2023 № 714-144 «О бюджете Санкт-Петербурга на 2026 год и на плановый период 2027 и 2028 годов», план-график закупок товаров, работ, услуг на 2026 год.</w:t>
      </w:r>
    </w:p>
    <w:p w:rsidR="00AC389A" w:rsidRPr="00AC389A" w:rsidRDefault="00AC389A" w:rsidP="00AC389A">
      <w:pPr>
        <w:spacing w:before="120" w:after="240"/>
        <w:ind w:firstLine="709"/>
        <w:jc w:val="both"/>
        <w:rPr>
          <w:rFonts w:eastAsia="MS Mincho" w:cs="Times New Roman"/>
          <w:sz w:val="22"/>
        </w:rPr>
      </w:pPr>
      <w:r w:rsidRPr="00AC389A">
        <w:rPr>
          <w:rFonts w:eastAsia="MS Mincho" w:cs="Times New Roman"/>
          <w:b/>
          <w:sz w:val="22"/>
          <w:lang w:val="ru-RU"/>
        </w:rPr>
        <w:t>2. Общие сведения:</w:t>
      </w:r>
    </w:p>
    <w:tbl>
      <w:tblPr>
        <w:tblStyle w:val="14"/>
        <w:tblW w:w="11409" w:type="dxa"/>
        <w:jc w:val="center"/>
        <w:tblInd w:w="0" w:type="dxa"/>
        <w:tblLook w:val="04A0" w:firstRow="1" w:lastRow="0" w:firstColumn="1" w:lastColumn="0" w:noHBand="0" w:noVBand="1"/>
      </w:tblPr>
      <w:tblGrid>
        <w:gridCol w:w="2129"/>
        <w:gridCol w:w="828"/>
        <w:gridCol w:w="8164"/>
        <w:gridCol w:w="276"/>
        <w:gridCol w:w="12"/>
      </w:tblGrid>
      <w:tr w:rsidR="00AC389A" w:rsidRPr="00173B02" w:rsidTr="00AC389A">
        <w:trPr>
          <w:gridAfter w:val="2"/>
          <w:wAfter w:w="288" w:type="dxa"/>
          <w:cantSplit/>
          <w:trHeight w:val="780"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2.1. </w:t>
            </w:r>
            <w:proofErr w:type="spellStart"/>
            <w:r w:rsidRPr="00AC389A">
              <w:rPr>
                <w:b/>
                <w:sz w:val="22"/>
              </w:rPr>
              <w:t>Наименование</w:t>
            </w:r>
            <w:proofErr w:type="spellEnd"/>
            <w:r w:rsidRPr="00AC389A">
              <w:rPr>
                <w:b/>
                <w:sz w:val="22"/>
              </w:rPr>
              <w:t xml:space="preserve"> и </w:t>
            </w:r>
            <w:proofErr w:type="spellStart"/>
            <w:r w:rsidRPr="00AC389A">
              <w:rPr>
                <w:b/>
                <w:sz w:val="22"/>
              </w:rPr>
              <w:t>адрес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объекта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Система контроля и управления доступом на объекте: СПб ГБУ ДО «СПб ДШИ № 3», расположенном по адресу: Санкт-Петербург, Кондратьевский проспект, дом 66, корпус 2, литер А (№ технического паспорта КСОБ: 3786).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trHeight w:val="457"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2.2. </w:t>
            </w:r>
            <w:proofErr w:type="spellStart"/>
            <w:r w:rsidRPr="00AC389A">
              <w:rPr>
                <w:b/>
                <w:sz w:val="22"/>
              </w:rPr>
              <w:t>Стадия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проектирования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Проектно-сметная документация (рабочая документация).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trHeight w:val="446"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2.3. </w:t>
            </w:r>
            <w:proofErr w:type="spellStart"/>
            <w:r w:rsidRPr="00AC389A">
              <w:rPr>
                <w:b/>
                <w:sz w:val="22"/>
              </w:rPr>
              <w:t>Вид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строительства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Новое строительство / Дооснащение (оснащение) существующего объекта.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trHeight w:val="845"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2.4. </w:t>
            </w:r>
            <w:proofErr w:type="spellStart"/>
            <w:r w:rsidRPr="00AC389A">
              <w:rPr>
                <w:b/>
                <w:sz w:val="22"/>
              </w:rPr>
              <w:t>Цель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строительства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Оснащение (дооснащение) объекта средствами комплексной системы обеспечения безопасности (СКУД) в соответствии с Техническими условиями СПб ГКУ «ГМЦ».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2.5. </w:t>
            </w:r>
            <w:proofErr w:type="spellStart"/>
            <w:r w:rsidRPr="00AC389A">
              <w:rPr>
                <w:b/>
                <w:sz w:val="22"/>
              </w:rPr>
              <w:t>Сроки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проектирования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Начало: с даты подписания контракта;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Окончание: не позднее 90 рабочих дней с даты подписания контракта.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2.6. </w:t>
            </w:r>
            <w:proofErr w:type="spellStart"/>
            <w:r w:rsidRPr="00AC389A">
              <w:rPr>
                <w:b/>
                <w:sz w:val="22"/>
              </w:rPr>
              <w:t>Источник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финансирования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Бюджет Санкт-Петербурга, целевая статья — 0650090810, код вида расходов — 244, КОСГУ — 228.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  <w:lang w:val="ru-RU"/>
              </w:rPr>
              <w:t>2</w:t>
            </w:r>
            <w:r w:rsidRPr="00AC389A">
              <w:rPr>
                <w:b/>
                <w:sz w:val="22"/>
              </w:rPr>
              <w:t xml:space="preserve">.7. </w:t>
            </w:r>
            <w:proofErr w:type="spellStart"/>
            <w:r w:rsidRPr="00AC389A">
              <w:rPr>
                <w:b/>
                <w:sz w:val="22"/>
              </w:rPr>
              <w:t>Заказчик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СПб ГБУ ДО «СПб ДШИ № 3».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2.8. </w:t>
            </w:r>
            <w:proofErr w:type="spellStart"/>
            <w:r w:rsidRPr="00AC389A">
              <w:rPr>
                <w:b/>
                <w:sz w:val="22"/>
              </w:rPr>
              <w:t>Подрядчик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по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проектированию</w:t>
            </w:r>
            <w:proofErr w:type="spellEnd"/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[Определяется по итогам конкурентной закупки].</w:t>
            </w:r>
          </w:p>
        </w:tc>
      </w:tr>
      <w:tr w:rsidR="00AC389A" w:rsidRPr="00173B02" w:rsidTr="00AC389A">
        <w:trPr>
          <w:gridAfter w:val="2"/>
          <w:wAfter w:w="288" w:type="dxa"/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2.9. Количество экземпляров проектно-сметной документации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 xml:space="preserve">Проектно-сметная документация предоставляется в </w:t>
            </w:r>
            <w:proofErr w:type="spellStart"/>
            <w:r w:rsidRPr="00AC389A">
              <w:rPr>
                <w:sz w:val="22"/>
                <w:lang w:val="ru-RU"/>
              </w:rPr>
              <w:t>кедующем</w:t>
            </w:r>
            <w:proofErr w:type="spellEnd"/>
            <w:r w:rsidRPr="00AC389A">
              <w:rPr>
                <w:sz w:val="22"/>
                <w:lang w:val="ru-RU"/>
              </w:rPr>
              <w:t xml:space="preserve"> количестве и форматах (согласно п. 2.2.2–2.2.5 ТУ):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4 экземпляра на бумажном носителе, прошитых и заверенных печатью проектной организации со всеми необходимыми согласованиями;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 xml:space="preserve">1 экземпляр в электронном виде: текстовая часть, ведомости объемов работ и спецификации материалов в формате, полностью совместимом с </w:t>
            </w:r>
            <w:r w:rsidRPr="00AC389A">
              <w:rPr>
                <w:sz w:val="22"/>
              </w:rPr>
              <w:t>doc</w:t>
            </w:r>
            <w:r w:rsidRPr="00AC389A">
              <w:rPr>
                <w:sz w:val="22"/>
                <w:lang w:val="ru-RU"/>
              </w:rPr>
              <w:t>/</w:t>
            </w:r>
            <w:proofErr w:type="spellStart"/>
            <w:r w:rsidRPr="00AC389A">
              <w:rPr>
                <w:sz w:val="22"/>
              </w:rPr>
              <w:t>docx</w:t>
            </w:r>
            <w:proofErr w:type="spellEnd"/>
            <w:r w:rsidRPr="00AC389A">
              <w:rPr>
                <w:sz w:val="22"/>
                <w:lang w:val="ru-RU"/>
              </w:rPr>
              <w:t xml:space="preserve"> (</w:t>
            </w:r>
            <w:r w:rsidRPr="00AC389A">
              <w:rPr>
                <w:sz w:val="22"/>
              </w:rPr>
              <w:t>Microsoft</w:t>
            </w:r>
            <w:r w:rsidRPr="00AC389A">
              <w:rPr>
                <w:sz w:val="22"/>
                <w:lang w:val="ru-RU"/>
              </w:rPr>
              <w:t xml:space="preserve"> </w:t>
            </w:r>
            <w:r w:rsidRPr="00AC389A">
              <w:rPr>
                <w:sz w:val="22"/>
              </w:rPr>
              <w:t>Word</w:t>
            </w:r>
            <w:r w:rsidRPr="00AC389A">
              <w:rPr>
                <w:sz w:val="22"/>
                <w:lang w:val="ru-RU"/>
              </w:rPr>
              <w:t xml:space="preserve">); чертежи и схемы в формате </w:t>
            </w:r>
            <w:proofErr w:type="spellStart"/>
            <w:r w:rsidRPr="00AC389A">
              <w:rPr>
                <w:sz w:val="22"/>
              </w:rPr>
              <w:t>dwg</w:t>
            </w:r>
            <w:proofErr w:type="spellEnd"/>
            <w:r w:rsidRPr="00AC389A">
              <w:rPr>
                <w:sz w:val="22"/>
                <w:lang w:val="ru-RU"/>
              </w:rPr>
              <w:t xml:space="preserve"> (</w:t>
            </w:r>
            <w:r w:rsidRPr="00AC389A">
              <w:rPr>
                <w:sz w:val="22"/>
              </w:rPr>
              <w:t>AutoCAD</w:t>
            </w:r>
            <w:r w:rsidRPr="00AC389A">
              <w:rPr>
                <w:sz w:val="22"/>
                <w:lang w:val="ru-RU"/>
              </w:rPr>
              <w:t>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 xml:space="preserve">сметная документация в форматах </w:t>
            </w:r>
            <w:r w:rsidRPr="00AC389A">
              <w:rPr>
                <w:sz w:val="22"/>
              </w:rPr>
              <w:t>doc</w:t>
            </w:r>
            <w:r w:rsidRPr="00AC389A">
              <w:rPr>
                <w:sz w:val="22"/>
                <w:lang w:val="ru-RU"/>
              </w:rPr>
              <w:t>/</w:t>
            </w:r>
            <w:proofErr w:type="spellStart"/>
            <w:r w:rsidRPr="00AC389A">
              <w:rPr>
                <w:sz w:val="22"/>
              </w:rPr>
              <w:t>docx</w:t>
            </w:r>
            <w:proofErr w:type="spellEnd"/>
            <w:r w:rsidRPr="00AC389A">
              <w:rPr>
                <w:sz w:val="22"/>
                <w:lang w:val="ru-RU"/>
              </w:rPr>
              <w:t xml:space="preserve">, </w:t>
            </w:r>
            <w:proofErr w:type="spellStart"/>
            <w:r w:rsidRPr="00AC389A">
              <w:rPr>
                <w:sz w:val="22"/>
              </w:rPr>
              <w:t>xls</w:t>
            </w:r>
            <w:proofErr w:type="spellEnd"/>
            <w:r w:rsidRPr="00AC389A">
              <w:rPr>
                <w:sz w:val="22"/>
                <w:lang w:val="ru-RU"/>
              </w:rPr>
              <w:t>/</w:t>
            </w:r>
            <w:proofErr w:type="spellStart"/>
            <w:r w:rsidRPr="00AC389A">
              <w:rPr>
                <w:sz w:val="22"/>
              </w:rPr>
              <w:t>xlsx</w:t>
            </w:r>
            <w:proofErr w:type="spellEnd"/>
            <w:r w:rsidRPr="00AC389A">
              <w:rPr>
                <w:sz w:val="22"/>
                <w:lang w:val="ru-RU"/>
              </w:rPr>
              <w:t xml:space="preserve">, а также в программе </w:t>
            </w:r>
            <w:proofErr w:type="spellStart"/>
            <w:r w:rsidRPr="00AC389A">
              <w:rPr>
                <w:sz w:val="22"/>
              </w:rPr>
              <w:t>SmetaWizard</w:t>
            </w:r>
            <w:proofErr w:type="spellEnd"/>
            <w:r w:rsidRPr="00AC389A">
              <w:rPr>
                <w:sz w:val="22"/>
                <w:lang w:val="ru-RU"/>
              </w:rPr>
              <w:t xml:space="preserve"> (версии не ниже </w:t>
            </w:r>
            <w:proofErr w:type="spellStart"/>
            <w:r w:rsidRPr="00AC389A">
              <w:rPr>
                <w:sz w:val="22"/>
              </w:rPr>
              <w:t>SWv</w:t>
            </w:r>
            <w:proofErr w:type="spellEnd"/>
            <w:r w:rsidRPr="00AC389A">
              <w:rPr>
                <w:sz w:val="22"/>
                <w:lang w:val="ru-RU"/>
              </w:rPr>
              <w:t>.4.0);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 xml:space="preserve">1 экземпляр в электронном виде (копия оригинала со всеми согласованиями) одним файлом в формате </w:t>
            </w:r>
            <w:r w:rsidRPr="00AC389A">
              <w:rPr>
                <w:sz w:val="22"/>
              </w:rPr>
              <w:t>PDF</w:t>
            </w:r>
            <w:r w:rsidRPr="00AC389A">
              <w:rPr>
                <w:sz w:val="22"/>
                <w:lang w:val="ru-RU"/>
              </w:rPr>
              <w:t>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отдельными файлами в электронном виде прикладываются утвержденный Акт обследования объекта и план эвакуации людей при пожаре.</w:t>
            </w:r>
          </w:p>
        </w:tc>
      </w:tr>
      <w:tr w:rsidR="00AC389A" w:rsidRPr="00173B02" w:rsidTr="00AC389A">
        <w:trPr>
          <w:gridAfter w:val="1"/>
          <w:wAfter w:w="12" w:type="dxa"/>
          <w:cantSplit/>
          <w:trHeight w:val="15156"/>
          <w:jc w:val="center"/>
        </w:trPr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lastRenderedPageBreak/>
              <w:t xml:space="preserve">3.1. </w:t>
            </w:r>
            <w:proofErr w:type="spellStart"/>
            <w:r w:rsidRPr="00AC389A">
              <w:rPr>
                <w:b/>
                <w:sz w:val="22"/>
              </w:rPr>
              <w:t>Общие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требования</w:t>
            </w:r>
            <w:proofErr w:type="spellEnd"/>
            <w:r w:rsidRPr="00AC389A">
              <w:rPr>
                <w:b/>
                <w:sz w:val="22"/>
              </w:rPr>
              <w:t xml:space="preserve"> к </w:t>
            </w:r>
            <w:proofErr w:type="spellStart"/>
            <w:r w:rsidRPr="00AC389A">
              <w:rPr>
                <w:b/>
                <w:sz w:val="22"/>
              </w:rPr>
              <w:t>проектированию</w:t>
            </w:r>
            <w:proofErr w:type="spellEnd"/>
          </w:p>
        </w:tc>
        <w:tc>
          <w:tcPr>
            <w:tcW w:w="9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1. Общие требования к проектированию.</w:t>
            </w:r>
            <w:r w:rsidRPr="00AC389A">
              <w:rPr>
                <w:b/>
                <w:sz w:val="22"/>
                <w:lang w:val="ru-RU"/>
              </w:rPr>
              <w:br/>
              <w:t>Проектирование должно включать следующие обязательные этапы: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1.1. Обследование объекта с проведением анализа уязвимостей объекта и оценки эффективности существующей системы защиты. По итогам обследования должен быть составлен соответствующий Акт обследования. В Акте обследования в обязательном порядке должны быть отражены (согласно п. 2.1.1 ТУ):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общая характеристика здания(</w:t>
            </w:r>
            <w:proofErr w:type="spellStart"/>
            <w:r w:rsidRPr="00AC389A">
              <w:rPr>
                <w:sz w:val="22"/>
                <w:lang w:val="ru-RU"/>
              </w:rPr>
              <w:t>ий</w:t>
            </w:r>
            <w:proofErr w:type="spellEnd"/>
            <w:r w:rsidRPr="00AC389A">
              <w:rPr>
                <w:sz w:val="22"/>
                <w:lang w:val="ru-RU"/>
              </w:rPr>
              <w:t>), помещений (</w:t>
            </w:r>
            <w:proofErr w:type="spellStart"/>
            <w:r w:rsidRPr="00AC389A">
              <w:rPr>
                <w:sz w:val="22"/>
                <w:lang w:val="ru-RU"/>
              </w:rPr>
              <w:t>ия</w:t>
            </w:r>
            <w:proofErr w:type="spellEnd"/>
            <w:r w:rsidRPr="00AC389A">
              <w:rPr>
                <w:sz w:val="22"/>
                <w:lang w:val="ru-RU"/>
              </w:rPr>
              <w:t>) или сооружений(</w:t>
            </w:r>
            <w:proofErr w:type="spellStart"/>
            <w:r w:rsidRPr="00AC389A">
              <w:rPr>
                <w:sz w:val="22"/>
                <w:lang w:val="ru-RU"/>
              </w:rPr>
              <w:t>ия</w:t>
            </w:r>
            <w:proofErr w:type="spellEnd"/>
            <w:r w:rsidRPr="00AC389A">
              <w:rPr>
                <w:sz w:val="22"/>
                <w:lang w:val="ru-RU"/>
              </w:rPr>
              <w:t>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план эвакуации людей при пожаре;</w:t>
            </w:r>
          </w:p>
          <w:p w:rsidR="00AC389A" w:rsidRPr="00AC389A" w:rsidRDefault="00AC389A" w:rsidP="00AC389A">
            <w:pPr>
              <w:spacing w:before="40" w:after="40"/>
              <w:ind w:left="273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объёмно-планировочное решение помещений, зданий, сооружений с информацией о функциональном назначении помещений, подвалов, подполья, а также цокольных и технических этажей, категория электроснабжения объекта (по ПУЭ) и т.п.;</w:t>
            </w:r>
          </w:p>
          <w:p w:rsidR="00AC389A" w:rsidRPr="00AC389A" w:rsidRDefault="00AC389A" w:rsidP="00AC389A">
            <w:pPr>
              <w:spacing w:before="40" w:after="40"/>
              <w:ind w:left="273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   • </w:t>
            </w:r>
            <w:r w:rsidRPr="00AC389A">
              <w:rPr>
                <w:sz w:val="22"/>
                <w:lang w:val="ru-RU"/>
              </w:rPr>
              <w:t>помещение поста охраны или другие помещения (например, пожарного поста, диспетчерских пунктов или помещений контроля за другими инженерными системами и т.п.);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основные характеристики каналов передачи информации;</w:t>
            </w:r>
          </w:p>
          <w:p w:rsidR="00AC389A" w:rsidRPr="00AC389A" w:rsidRDefault="00AC389A" w:rsidP="00AC389A">
            <w:pPr>
              <w:spacing w:before="40" w:after="40"/>
              <w:ind w:left="131" w:firstLine="6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наличие подсистем СКУД, подлежащих демонтажу, с приложением документов, обосновывающих демонтаж и определяющих объем демонтажа;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наличие на объекте действующей СКУД (в случае если оборудуется только часть здания);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наличие проектной/рабочей документации на действующую СКУД;</w:t>
            </w:r>
          </w:p>
          <w:p w:rsidR="00AC389A" w:rsidRPr="00AC389A" w:rsidRDefault="00AC389A" w:rsidP="00AC389A">
            <w:pPr>
              <w:spacing w:before="40" w:after="40"/>
              <w:ind w:left="131" w:firstLine="142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сбор установочных данных для выбора наиболее оптимального варианта сопряжения действующей СКУД с проектируемой СКУД;</w:t>
            </w:r>
          </w:p>
          <w:p w:rsidR="00AC389A" w:rsidRPr="00AC389A" w:rsidRDefault="00AC389A" w:rsidP="00AC389A">
            <w:pPr>
              <w:spacing w:before="40" w:after="40"/>
              <w:ind w:left="131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наличие предписаний контрольных и надзорных органов (копии в части касающейся прилагаются к акту обследования);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наличие архитектурно-строительных чертежей;</w:t>
            </w:r>
          </w:p>
          <w:p w:rsidR="00AC389A" w:rsidRPr="00AC389A" w:rsidRDefault="00AC389A" w:rsidP="00AC389A">
            <w:pPr>
              <w:spacing w:before="40" w:after="40"/>
              <w:ind w:left="425" w:hanging="425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вид охраны: физическая, техническая (автономная, централизованная), совмещенная (физическая и техническая);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класс защиты объекта в зависимости от вида и размеров ущерба, который может быть нанесен объекту, находящимся на нём людям и имуществу в случае реализации криминальных угроз.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 Обязательства по предоставлению документов для сбора исходных данных лежат на уполномоченном представителе объекта. Акт обследования должен быть утвержден руководителем объекта и прикладываться отдельным файлом к рабочей документации при её согласовании с СПб ГКУ «ГМЦ» (п. 2.1.2, 2.1.4 ТУ).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lastRenderedPageBreak/>
              <w:t>3.2. Состав проектно-сметной документации и требования к её содержанию</w:t>
            </w:r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2. Состав проектно-сметной документации и требования к её содержанию.</w:t>
            </w:r>
            <w:r w:rsidRPr="00AC389A">
              <w:rPr>
                <w:b/>
                <w:sz w:val="22"/>
                <w:lang w:val="ru-RU"/>
              </w:rPr>
              <w:br/>
              <w:t>2.1. Проектно-сметная документация должна быть выполнена в соответствии с требованиями действующих стандартов, нормативно-правовых и руководящих технических документов, в том числе: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Постановлением Правительства РФ от 16.02.2008 № 87 «О составе разделов проектной документации и требованиях к их содержанию»;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Р 21.101-2026 «Система проектной документации для строительства. Основные требования к проектной и рабочей документации»;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21.110-2013 «СПДС. Спецификация оборудования, изделий и материалов».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2.2. Обоснованные отступления (изменения) от проектной документации в процессе монтажа допускаются только при наличии разрешений (согласования) Заказчика и согласующих организаций.</w:t>
            </w:r>
            <w:r w:rsidRPr="00AC389A">
              <w:rPr>
                <w:sz w:val="22"/>
                <w:lang w:val="ru-RU"/>
              </w:rPr>
              <w:br/>
              <w:t>2.3. Рабочая документация выполняется в составе (согласно разделу 3 ТУ):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1. Обложка;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2. Титульный лист;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3. Состав рабочей документации;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4. Общие данные (ведомость ссылочных документов, ведомость чертежей, показатели системы, краткая характеристика объекта с указанием назначения, этажности, площади, категории электроснабжения по ПУЭ, расположения поста охраны; основные технические решения; организация и алгоритмы работы; сопряжение систем; размещение и монтаж АРМ и приборов; монтаж кабельных трасс; электропитание и заземление; маркировка и пломбирование; обеспечение безопасности при монтаже и эксплуатации; экология; техническое обслуживание);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 xml:space="preserve">5. Графическая часть (УГО, структурная схема, схема электрических подключений, планы размещения оборудования с экспликациями помещений, ситуационный план, кабельный журнал с указанием способов прокладки: кабель-канал, </w:t>
            </w:r>
            <w:proofErr w:type="spellStart"/>
            <w:r w:rsidRPr="00AC389A">
              <w:rPr>
                <w:sz w:val="22"/>
                <w:lang w:val="ru-RU"/>
              </w:rPr>
              <w:t>гофротруба</w:t>
            </w:r>
            <w:proofErr w:type="spellEnd"/>
            <w:r w:rsidRPr="00AC389A">
              <w:rPr>
                <w:sz w:val="22"/>
                <w:lang w:val="ru-RU"/>
              </w:rPr>
              <w:t xml:space="preserve">, труба, </w:t>
            </w:r>
            <w:proofErr w:type="spellStart"/>
            <w:r w:rsidRPr="00AC389A">
              <w:rPr>
                <w:sz w:val="22"/>
                <w:lang w:val="ru-RU"/>
              </w:rPr>
              <w:t>штроба</w:t>
            </w:r>
            <w:proofErr w:type="spellEnd"/>
            <w:r w:rsidRPr="00AC389A">
              <w:rPr>
                <w:sz w:val="22"/>
                <w:lang w:val="ru-RU"/>
              </w:rPr>
              <w:t>);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6. Спецификация оборудования, изделий и материалов с добавлением отдельного столбца с указанием номера в едином реестре российской промышленной продукции (ПП РФ № 719);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7. Расчет резервного электропитания СКУД;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8. Задание на подвод электропитания;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9. Задания смежным инженерам (освещение, выдача сигналов управления в СПЗ и т.д.);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10. Монтажные схемы СКУД дверей, турникетов, домофонов (размещение от пола и по ширине) с привязкой по местам установки и указанием ширины путей эвакуации по СП 1.13130;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11. Приложения: задание на проектирование, утвержденный Акт обследования, план эвакуации, выданные ТУ, копии лицензий, выписки СРО, сертификаты.</w:t>
            </w: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lastRenderedPageBreak/>
              <w:t>3.2.</w:t>
            </w:r>
            <w:r w:rsidRPr="00AC389A">
              <w:rPr>
                <w:b/>
                <w:sz w:val="22"/>
                <w:lang w:val="ru-RU"/>
              </w:rPr>
              <w:t>1</w:t>
            </w:r>
            <w:r w:rsidRPr="00AC389A">
              <w:rPr>
                <w:b/>
                <w:sz w:val="22"/>
              </w:rPr>
              <w:t xml:space="preserve">. </w:t>
            </w:r>
            <w:proofErr w:type="spellStart"/>
            <w:r w:rsidRPr="00AC389A">
              <w:rPr>
                <w:b/>
                <w:sz w:val="22"/>
              </w:rPr>
              <w:t>Контроль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управления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доступом</w:t>
            </w:r>
            <w:proofErr w:type="spellEnd"/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1. Общие требования к системе СКУД.</w:t>
            </w:r>
            <w:r w:rsidRPr="00AC389A">
              <w:rPr>
                <w:b/>
                <w:sz w:val="22"/>
                <w:lang w:val="ru-RU"/>
              </w:rPr>
              <w:br/>
              <w:t>Система контроля и управления доступом должна обеспечивать: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санкционированный вход в здание, помещения ограниченного доступа и выход из них путем идентификации личности по комбинации различных признаков: вещественный код (ключи, карты, брелоки), запоминаемый код (клавишные панели и др.);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предотвращение несанкционированного прохода в помещения ограниченного доступа объекта;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выдачу информации о попытках несанкционированного проникновения на объект;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открывание управляемых преграждающих устройств (УПУ) после считывания идентификационного признака, доступ по которому разрешён в заданный временной интервал или по команде оператора;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запрет открывания УПУ после считывания признака, доступ по которому не разрешён;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санкционированное изменение (добавление, удаление) признаков в устройствах управления и связь их с зонами и временными интервалами;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защиту от несанкционированного доступа к программным и аппаратным средствам;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сохранение настроек и базы данных при отключении электропитания;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ручное, полуавтоматическое или автоматическое разблокирование УПУ при чрезвычайных ситуациях и пожаре в соответствии с правилами пожарной безопасности;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открытие или блокировку любых дверей с рабочего места оператора системы;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автоматическое закрытие УПУ при отсутствии факта прохода через определённое время;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регистрацию и протоколирование текущих и тревожных событий;</w:t>
            </w:r>
          </w:p>
          <w:p w:rsidR="00AC389A" w:rsidRPr="00AC389A" w:rsidRDefault="00AC389A" w:rsidP="00AC389A">
            <w:pPr>
              <w:spacing w:before="40" w:after="40"/>
              <w:ind w:left="343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автономную работу считывателя в каждой точке доступа при отказе связи с контроллером.</w:t>
            </w:r>
            <w:r w:rsidRPr="00AC389A">
              <w:rPr>
                <w:sz w:val="22"/>
                <w:lang w:val="ru-RU"/>
              </w:rPr>
              <w:br/>
            </w:r>
          </w:p>
          <w:p w:rsidR="00AC389A" w:rsidRPr="00AC389A" w:rsidRDefault="00AC389A" w:rsidP="00AC389A">
            <w:pPr>
              <w:tabs>
                <w:tab w:val="left" w:pos="485"/>
                <w:tab w:val="left" w:pos="1052"/>
                <w:tab w:val="left" w:pos="1274"/>
                <w:tab w:val="left" w:pos="1476"/>
                <w:tab w:val="left" w:pos="1558"/>
                <w:tab w:val="left" w:pos="1983"/>
                <w:tab w:val="left" w:pos="2408"/>
              </w:tabs>
              <w:spacing w:before="40" w:after="40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2..Состав систем контроля и управления доступом:</w:t>
            </w:r>
            <w:r w:rsidRPr="00AC389A">
              <w:rPr>
                <w:sz w:val="22"/>
                <w:lang w:val="ru-RU"/>
              </w:rPr>
              <w:br/>
              <w:t>2.1. Устройства преграждающие управляемые (УПУ) — замки/турникеты, определяемые исходя из типа конструкции.</w:t>
            </w:r>
            <w:r w:rsidRPr="00AC389A">
              <w:rPr>
                <w:sz w:val="22"/>
                <w:lang w:val="ru-RU"/>
              </w:rPr>
              <w:br/>
              <w:t>2.2. Устройства ввода идентификационных признаков (считыватели и идентификаторы) — считывание признака, сравнение, защита от манипулирования перебором.</w:t>
            </w:r>
            <w:r w:rsidRPr="00AC389A">
              <w:rPr>
                <w:sz w:val="22"/>
                <w:lang w:val="ru-RU"/>
              </w:rPr>
              <w:br/>
              <w:t>2.3. Устройства управления (контроллеры) — приём информации, ведение баз данных работников, электронный журнал событий, контроль линий связи.</w:t>
            </w:r>
            <w:r w:rsidRPr="00AC389A">
              <w:rPr>
                <w:sz w:val="22"/>
                <w:lang w:val="ru-RU"/>
              </w:rPr>
              <w:br/>
              <w:t>3. Программное обеспечение СКУД:</w:t>
            </w:r>
            <w:r w:rsidRPr="00AC389A">
              <w:rPr>
                <w:sz w:val="22"/>
                <w:lang w:val="ru-RU"/>
              </w:rPr>
              <w:br/>
              <w:t>Энергонезависимое хранение базы данных сотрудников с фотографиями; добавление списков разрешения автономно в память каждого контроллера; формирование отчётов учёта рабочего времени; отображение на планах состояния всех точек; объединение в ЛВС; эргономичный интерфейс.</w:t>
            </w:r>
            <w:r w:rsidRPr="00AC389A">
              <w:rPr>
                <w:sz w:val="22"/>
                <w:lang w:val="ru-RU"/>
              </w:rPr>
              <w:br/>
              <w:t>4. Модульный принцип:</w:t>
            </w:r>
            <w:r w:rsidRPr="00AC389A">
              <w:rPr>
                <w:sz w:val="22"/>
                <w:lang w:val="ru-RU"/>
              </w:rPr>
              <w:br/>
              <w:t xml:space="preserve">При выходе из строя центрального ПО все локальные контроллеры сохраняют полную автономию. Объединение по </w:t>
            </w:r>
            <w:r w:rsidRPr="00AC389A">
              <w:rPr>
                <w:sz w:val="22"/>
              </w:rPr>
              <w:t>RS</w:t>
            </w:r>
            <w:r w:rsidRPr="00AC389A">
              <w:rPr>
                <w:sz w:val="22"/>
                <w:lang w:val="ru-RU"/>
              </w:rPr>
              <w:t xml:space="preserve">-485 или </w:t>
            </w:r>
            <w:r w:rsidRPr="00AC389A">
              <w:rPr>
                <w:sz w:val="22"/>
              </w:rPr>
              <w:t>Ethernet</w:t>
            </w:r>
            <w:r w:rsidRPr="00AC389A">
              <w:rPr>
                <w:sz w:val="22"/>
                <w:lang w:val="ru-RU"/>
              </w:rPr>
              <w:t>. Возможность совмещения с аудио-видеодомофонами.</w:t>
            </w:r>
            <w:r w:rsidRPr="00AC389A">
              <w:rPr>
                <w:sz w:val="22"/>
                <w:lang w:val="ru-RU"/>
              </w:rPr>
              <w:br/>
            </w:r>
            <w:r w:rsidRPr="00AC389A">
              <w:rPr>
                <w:sz w:val="22"/>
                <w:lang w:val="ru-RU"/>
              </w:rPr>
              <w:br/>
              <w:t>5.Кабельные соединения:</w:t>
            </w:r>
            <w:r w:rsidRPr="00AC389A">
              <w:rPr>
                <w:sz w:val="22"/>
                <w:lang w:val="ru-RU"/>
              </w:rPr>
              <w:br/>
              <w:t xml:space="preserve">Трассы за подвесным потолком — в </w:t>
            </w:r>
            <w:proofErr w:type="spellStart"/>
            <w:r w:rsidRPr="00AC389A">
              <w:rPr>
                <w:sz w:val="22"/>
                <w:lang w:val="ru-RU"/>
              </w:rPr>
              <w:t>гофротрубах</w:t>
            </w:r>
            <w:proofErr w:type="spellEnd"/>
            <w:r w:rsidRPr="00AC389A">
              <w:rPr>
                <w:sz w:val="22"/>
                <w:lang w:val="ru-RU"/>
              </w:rPr>
              <w:t xml:space="preserve">, спуски — в кабель-каналах или </w:t>
            </w:r>
            <w:proofErr w:type="spellStart"/>
            <w:r w:rsidRPr="00AC389A">
              <w:rPr>
                <w:sz w:val="22"/>
                <w:lang w:val="ru-RU"/>
              </w:rPr>
              <w:t>штробах</w:t>
            </w:r>
            <w:proofErr w:type="spellEnd"/>
            <w:r w:rsidRPr="00AC389A">
              <w:rPr>
                <w:sz w:val="22"/>
                <w:lang w:val="ru-RU"/>
              </w:rPr>
              <w:t xml:space="preserve">. Охрана вне зон — в металлических трубах/канализации. Обязательное использование огнестойких кабелей с низким </w:t>
            </w:r>
            <w:proofErr w:type="spellStart"/>
            <w:r w:rsidRPr="00AC389A">
              <w:rPr>
                <w:sz w:val="22"/>
                <w:lang w:val="ru-RU"/>
              </w:rPr>
              <w:t>дымо</w:t>
            </w:r>
            <w:proofErr w:type="spellEnd"/>
            <w:r w:rsidRPr="00AC389A">
              <w:rPr>
                <w:sz w:val="22"/>
                <w:lang w:val="ru-RU"/>
              </w:rPr>
              <w:t xml:space="preserve">- и </w:t>
            </w:r>
            <w:proofErr w:type="spellStart"/>
            <w:r w:rsidRPr="00AC389A">
              <w:rPr>
                <w:sz w:val="22"/>
                <w:lang w:val="ru-RU"/>
              </w:rPr>
              <w:t>газовыделением</w:t>
            </w:r>
            <w:proofErr w:type="spellEnd"/>
            <w:r w:rsidRPr="00AC389A">
              <w:rPr>
                <w:sz w:val="22"/>
                <w:lang w:val="ru-RU"/>
              </w:rPr>
              <w:t xml:space="preserve"> (НГ-</w:t>
            </w:r>
            <w:r w:rsidRPr="00AC389A">
              <w:rPr>
                <w:sz w:val="22"/>
              </w:rPr>
              <w:t>LS</w:t>
            </w:r>
            <w:r w:rsidRPr="00AC389A">
              <w:rPr>
                <w:sz w:val="22"/>
                <w:lang w:val="ru-RU"/>
              </w:rPr>
              <w:t xml:space="preserve"> / </w:t>
            </w:r>
            <w:r w:rsidRPr="00AC389A">
              <w:rPr>
                <w:sz w:val="22"/>
              </w:rPr>
              <w:t>FRLS</w:t>
            </w:r>
            <w:r w:rsidRPr="00AC389A">
              <w:rPr>
                <w:sz w:val="22"/>
                <w:lang w:val="ru-RU"/>
              </w:rPr>
              <w:t>) в соответствии с ГОСТ 31565-2012 и СП 6.13130.</w:t>
            </w:r>
            <w:r w:rsidRPr="00AC389A">
              <w:rPr>
                <w:sz w:val="22"/>
                <w:lang w:val="ru-RU"/>
              </w:rPr>
              <w:br/>
              <w:t>6. Размещение оборудования: приемная аппаратура и АРМ на посту охраны.</w:t>
            </w:r>
            <w:r w:rsidRPr="00AC389A">
              <w:rPr>
                <w:sz w:val="22"/>
                <w:lang w:val="ru-RU"/>
              </w:rPr>
              <w:br/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lastRenderedPageBreak/>
              <w:t xml:space="preserve">7. </w:t>
            </w:r>
            <w:r w:rsidR="006C65E6">
              <w:rPr>
                <w:b/>
                <w:sz w:val="22"/>
                <w:lang w:val="ru-RU"/>
              </w:rPr>
              <w:t>Перечень, состав и типы точек доступа (ТД)</w:t>
            </w:r>
            <w:r w:rsidRPr="00AC389A">
              <w:rPr>
                <w:b/>
                <w:sz w:val="22"/>
                <w:lang w:val="ru-RU"/>
              </w:rPr>
              <w:t xml:space="preserve">, </w:t>
            </w:r>
            <w:r w:rsidR="006C65E6">
              <w:rPr>
                <w:b/>
                <w:sz w:val="22"/>
                <w:lang w:val="ru-RU"/>
              </w:rPr>
              <w:t>подлежащих дооснащению на объекте</w:t>
            </w:r>
            <w:r w:rsidRPr="00AC389A">
              <w:rPr>
                <w:b/>
                <w:sz w:val="22"/>
                <w:lang w:val="ru-RU"/>
              </w:rPr>
              <w:t xml:space="preserve"> (согласно п. 1.3 и разделу 5 ТУ):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В рабочей документации определить точное расположение и состав оборудования для следующих групп точек доступа защищаемого объекта: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А) Периметр территории объекта (Группы ТД № 1–9 по ТУ): Входная калитка (ТД № 7 «Калитка с вызывной панелью» / ТД № 8 «Калитка»). Состав оборудования: контроллер и ИБП, электромагни</w:t>
            </w:r>
            <w:bookmarkStart w:id="0" w:name="_GoBack"/>
            <w:bookmarkEnd w:id="0"/>
            <w:r w:rsidRPr="00AC389A">
              <w:rPr>
                <w:sz w:val="22"/>
                <w:lang w:val="ru-RU"/>
              </w:rPr>
              <w:t>тный замок всепогодного исполнения, СМК контроля положения калитки, считыватель (или вызывная панель видеодомофона), антивандальная кнопка выхода водонепроницаемая (</w:t>
            </w:r>
            <w:r w:rsidRPr="00AC389A">
              <w:rPr>
                <w:sz w:val="22"/>
              </w:rPr>
              <w:t>IP</w:t>
            </w:r>
            <w:r w:rsidRPr="00AC389A">
              <w:rPr>
                <w:sz w:val="22"/>
                <w:lang w:val="ru-RU"/>
              </w:rPr>
              <w:t>68), стойка кнопки выхода.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Особое требование п. 4.4.2 ТУ: на выходной калитке с территории в обязательном порядке предусмотреть защиту от детей (вместо обычной кнопки «выход» установить считыватель, </w:t>
            </w:r>
            <w:proofErr w:type="spellStart"/>
            <w:r w:rsidRPr="00AC389A">
              <w:rPr>
                <w:b/>
                <w:sz w:val="22"/>
                <w:lang w:val="ru-RU"/>
              </w:rPr>
              <w:t>кодонаборную</w:t>
            </w:r>
            <w:proofErr w:type="spellEnd"/>
            <w:r w:rsidRPr="00AC389A">
              <w:rPr>
                <w:b/>
                <w:sz w:val="22"/>
                <w:lang w:val="ru-RU"/>
              </w:rPr>
              <w:t xml:space="preserve"> панель со считывателем либо вызывную панель видеодомофона).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 xml:space="preserve">Въездные ворота / шлагбаум (ТД № 1–6 при наличии въезда). Состав оборудования согласно разделу 5 ТУ (вызывная панель, контроллер, ИБП, замок, СМК, считыватель, кнопка </w:t>
            </w:r>
            <w:r w:rsidRPr="00AC389A">
              <w:rPr>
                <w:sz w:val="22"/>
              </w:rPr>
              <w:t>IP</w:t>
            </w:r>
            <w:r w:rsidRPr="00AC389A">
              <w:rPr>
                <w:sz w:val="22"/>
                <w:lang w:val="ru-RU"/>
              </w:rPr>
              <w:t>68 на стойке).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Б) Входная зона в здание (Группы ТД № 10–13 по ТУ): Главный вход в здание (ТД № 10 «Входная группа в здание с вызывной панелью» / ТД № 11). Состав: вызывная панель видеодомофона, контроллер и ИБП, замок, СМК двери, внутренний считыватель, кнопка выхода, кнопка аварийной разблокировки.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Рубеж прохода в вестибюле (ТД № 12 «Турникет»). Состав: турникет с планками «</w:t>
            </w:r>
            <w:proofErr w:type="spellStart"/>
            <w:r w:rsidRPr="00AC389A">
              <w:rPr>
                <w:sz w:val="22"/>
                <w:lang w:val="ru-RU"/>
              </w:rPr>
              <w:t>Антипаника</w:t>
            </w:r>
            <w:proofErr w:type="spellEnd"/>
            <w:r w:rsidRPr="00AC389A">
              <w:rPr>
                <w:sz w:val="22"/>
                <w:lang w:val="ru-RU"/>
              </w:rPr>
              <w:t>» (механическое или автоматическое разблокирование при сигнале пожара), контроллер и ИБП, считыватели на вход и выход, пульт управления охранника. Ширина путей эвакуации по СП 1.13130.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Служебный вход (ТД № 13). Состав: контроллер, ИБП, замок, СМК, считыватели на вход и выход, кнопка аварийной разблокировки в разрыв питания замка.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В) Эвакуационные выходы (Группы ТД № 14–16 по ТУ): Двери эвакуационных выходов (ТД № 14, 15, 16). Состав: контроллер, ИБП, замок, СМК, считыватель, устройство экстренного открывания (накладная/врезная штанга «</w:t>
            </w:r>
            <w:proofErr w:type="spellStart"/>
            <w:r w:rsidRPr="00AC389A">
              <w:rPr>
                <w:sz w:val="22"/>
                <w:lang w:val="ru-RU"/>
              </w:rPr>
              <w:t>Антипаника</w:t>
            </w:r>
            <w:proofErr w:type="spellEnd"/>
            <w:r w:rsidRPr="00AC389A">
              <w:rPr>
                <w:sz w:val="22"/>
                <w:lang w:val="ru-RU"/>
              </w:rPr>
              <w:t>» по ГОСТ 31471-2021), кнопка аварийной разблокировки, автоматическое разблокирование от СПЗ.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Г) Внутренние помещения (Группы ТД № 17, 18 по ТУ): Помещения ограниченного доступа (ТД № 18 согласно п. 4.5.1 ТУ) — помещение серверной (при наличии) и помещение охраны. Состав: контроллер, ИБП, замок, СМК, считыватели на вход и выход, кнопка аварийной разблокировки. Служебные помещения (ТД № 17).</w:t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8. Дополнительные технические требования (согласно разделу 4 ТУ):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Одновременное применение герконов (СМК) в системе охранной сигнализации и СКУД не допускается (п. 4.5.2 ТУ);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При использовании в составе СКУД АРМ предусмотреть для АРМ источник бесперебойного питания (ИБП) с временем автономии не менее 10 минут (п. 4.3.11 ТУ);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Химические источники питания, встроенные в идентификаторы или контроллеры, должны обеспечивать работу в течение не менее 3 лет (п. 4.3.10 ТУ);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При использовании резервных батарей обеспечить индикацию разряда и передачу сигнала на пункт управления (п. 4.3.9 ТУ);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СКУД должна обеспечивать разделение объекта на три основные зоны доступа: неограниченная, ограниченная по пропускам, строго специальная (п. 4.4.1 ТУ);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Интеграция систем КСОБ (ОТС, видеонаблюдение, СКУД) осуществляется в единую ИСБ на базе оборудования одной товарной марки (п. 4.5.5 ТУ);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Приемно-контрольное оборудование должно размещаться в местах, недоступных для посторонних (п. 4.5.3 ТУ).</w:t>
            </w: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lastRenderedPageBreak/>
              <w:t>3.2.</w:t>
            </w:r>
            <w:r w:rsidRPr="00AC389A">
              <w:rPr>
                <w:b/>
                <w:sz w:val="22"/>
                <w:lang w:val="ru-RU"/>
              </w:rPr>
              <w:t>2</w:t>
            </w:r>
            <w:r w:rsidRPr="00AC389A">
              <w:rPr>
                <w:b/>
                <w:sz w:val="22"/>
              </w:rPr>
              <w:t xml:space="preserve">. </w:t>
            </w:r>
            <w:proofErr w:type="spellStart"/>
            <w:r w:rsidRPr="00AC389A">
              <w:rPr>
                <w:b/>
                <w:sz w:val="22"/>
              </w:rPr>
              <w:t>Электротехнические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решения</w:t>
            </w:r>
            <w:proofErr w:type="spellEnd"/>
            <w:r w:rsidRPr="00AC389A">
              <w:rPr>
                <w:b/>
                <w:sz w:val="22"/>
              </w:rPr>
              <w:t xml:space="preserve"> (</w:t>
            </w:r>
            <w:proofErr w:type="spellStart"/>
            <w:r w:rsidRPr="00AC389A">
              <w:rPr>
                <w:b/>
                <w:sz w:val="22"/>
              </w:rPr>
              <w:t>сооружения</w:t>
            </w:r>
            <w:proofErr w:type="spellEnd"/>
            <w:r w:rsidRPr="00AC389A">
              <w:rPr>
                <w:b/>
                <w:sz w:val="22"/>
              </w:rPr>
              <w:t>)</w:t>
            </w:r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1. Документацией предусмотреть подключение СКУД к существующей сети электропитания и заземления здания 380/220 В:</w:t>
            </w:r>
            <w:r w:rsidRPr="00AC389A">
              <w:rPr>
                <w:sz w:val="22"/>
                <w:lang w:val="ru-RU"/>
              </w:rPr>
              <w:br/>
              <w:t>1.1. Предусмотреть прокладку кабеля питания от точки подключения до оборудования СКУД.</w:t>
            </w:r>
            <w:r w:rsidRPr="00AC389A">
              <w:rPr>
                <w:sz w:val="22"/>
                <w:lang w:val="ru-RU"/>
              </w:rPr>
              <w:br/>
              <w:t>1.2. В точке подключения установить автоматический выключатель соответствующего номинала.</w:t>
            </w:r>
            <w:r w:rsidRPr="00AC389A">
              <w:rPr>
                <w:sz w:val="22"/>
                <w:lang w:val="ru-RU"/>
              </w:rPr>
              <w:br/>
              <w:t>1.3. Точка подключения определяется совместно с владельцем здания в ходе обследования.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 xml:space="preserve">2. Основное электропитание СКУД должно осуществляться от сети переменного тока частотой 50 Гц номинальным напряжением 220 </w:t>
            </w:r>
            <w:proofErr w:type="gramStart"/>
            <w:r w:rsidRPr="00AC389A">
              <w:rPr>
                <w:sz w:val="22"/>
                <w:lang w:val="ru-RU"/>
              </w:rPr>
              <w:t>В</w:t>
            </w:r>
            <w:proofErr w:type="gramEnd"/>
            <w:r w:rsidRPr="00AC389A">
              <w:rPr>
                <w:sz w:val="22"/>
                <w:lang w:val="ru-RU"/>
              </w:rPr>
              <w:t xml:space="preserve"> с допустимыми отклонениями от минус 20% до плюс 15% (п. 4.3.5 ТУ).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3. Резервное электропитание: автоматический переход на резервные батареи (ИБП) при пропадании основного питания без нарушения режимов работы. Работоспособность при отклонениях напряжения резервного источника от минус 15% до плюс 15%. Время автономии определяется п. 5.8.3 ГОСТ Р 51241-2008 (и обеспечивает питание в дежурном режиме не менее 24 ч плюс 1 ч работы в тревожном режиме). Автоматический заряд батарей (п. 4.3.6, 4.3.7, 4.3.8 ТУ).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 xml:space="preserve">4. Заземление </w:t>
            </w:r>
            <w:proofErr w:type="spellStart"/>
            <w:r w:rsidRPr="00AC389A">
              <w:rPr>
                <w:sz w:val="22"/>
                <w:lang w:val="ru-RU"/>
              </w:rPr>
              <w:t>электроприемников</w:t>
            </w:r>
            <w:proofErr w:type="spellEnd"/>
            <w:r w:rsidRPr="00AC389A">
              <w:rPr>
                <w:sz w:val="22"/>
                <w:lang w:val="ru-RU"/>
              </w:rPr>
              <w:t xml:space="preserve"> СКУД выполнить строго в соответствии с требованиями ГОСТ Р 70303-2022 и СП 76.13330.2016 (п. 4.3.12 ТУ).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 xml:space="preserve">5. Электропроводка СКУД (шлейфы, линии связи, питания) выполняется огнестойкими кабельными изделиями, не распространяющими горение, с низким </w:t>
            </w:r>
            <w:proofErr w:type="spellStart"/>
            <w:r w:rsidRPr="00AC389A">
              <w:rPr>
                <w:sz w:val="22"/>
                <w:lang w:val="ru-RU"/>
              </w:rPr>
              <w:t>дымо</w:t>
            </w:r>
            <w:proofErr w:type="spellEnd"/>
            <w:r w:rsidRPr="00AC389A">
              <w:rPr>
                <w:sz w:val="22"/>
                <w:lang w:val="ru-RU"/>
              </w:rPr>
              <w:t xml:space="preserve">- и </w:t>
            </w:r>
            <w:proofErr w:type="spellStart"/>
            <w:r w:rsidRPr="00AC389A">
              <w:rPr>
                <w:sz w:val="22"/>
                <w:lang w:val="ru-RU"/>
              </w:rPr>
              <w:t>газовыделением</w:t>
            </w:r>
            <w:proofErr w:type="spellEnd"/>
            <w:r w:rsidRPr="00AC389A">
              <w:rPr>
                <w:sz w:val="22"/>
                <w:lang w:val="ru-RU"/>
              </w:rPr>
              <w:t xml:space="preserve"> (</w:t>
            </w:r>
            <w:r w:rsidRPr="00AC389A">
              <w:rPr>
                <w:sz w:val="22"/>
              </w:rPr>
              <w:t>FRLS</w:t>
            </w:r>
            <w:r w:rsidRPr="00AC389A">
              <w:rPr>
                <w:sz w:val="22"/>
                <w:lang w:val="ru-RU"/>
              </w:rPr>
              <w:t xml:space="preserve"> / </w:t>
            </w:r>
            <w:r w:rsidRPr="00AC389A">
              <w:rPr>
                <w:sz w:val="22"/>
              </w:rPr>
              <w:t>FRHF</w:t>
            </w:r>
            <w:r w:rsidRPr="00AC389A">
              <w:rPr>
                <w:sz w:val="22"/>
                <w:lang w:val="ru-RU"/>
              </w:rPr>
              <w:t>) по ГОСТ 31565-2012 и СП 6.13130 (п. 4.3.13, 4.3.14 ТУ).</w:t>
            </w: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t>3.2.</w:t>
            </w:r>
            <w:r w:rsidRPr="00AC389A">
              <w:rPr>
                <w:b/>
                <w:sz w:val="22"/>
                <w:lang w:val="ru-RU"/>
              </w:rPr>
              <w:t>3</w:t>
            </w:r>
            <w:r w:rsidRPr="00AC389A">
              <w:rPr>
                <w:b/>
                <w:sz w:val="22"/>
              </w:rPr>
              <w:t xml:space="preserve">. </w:t>
            </w:r>
            <w:proofErr w:type="spellStart"/>
            <w:r w:rsidRPr="00AC389A">
              <w:rPr>
                <w:b/>
                <w:sz w:val="22"/>
              </w:rPr>
              <w:t>Система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защиты</w:t>
            </w:r>
            <w:proofErr w:type="spellEnd"/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Предусмотреть систему защиты информации, передачи извещений и каналов управления.</w:t>
            </w: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t>3.2.</w:t>
            </w:r>
            <w:r w:rsidRPr="00AC389A">
              <w:rPr>
                <w:b/>
                <w:sz w:val="22"/>
                <w:lang w:val="ru-RU"/>
              </w:rPr>
              <w:t>4</w:t>
            </w:r>
            <w:r w:rsidRPr="00AC389A">
              <w:rPr>
                <w:b/>
                <w:sz w:val="22"/>
              </w:rPr>
              <w:t xml:space="preserve">. </w:t>
            </w:r>
            <w:proofErr w:type="spellStart"/>
            <w:r w:rsidRPr="00AC389A">
              <w:rPr>
                <w:b/>
                <w:sz w:val="22"/>
              </w:rPr>
              <w:t>Приспособление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помещений</w:t>
            </w:r>
            <w:proofErr w:type="spellEnd"/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В случае необходимости предусмотреть приспособление помещения, в котором устанавливается оборудование СКУД.</w:t>
            </w:r>
          </w:p>
        </w:tc>
      </w:tr>
      <w:tr w:rsidR="00AC389A" w:rsidRPr="00AC389A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lastRenderedPageBreak/>
              <w:t xml:space="preserve">3.3. </w:t>
            </w:r>
            <w:proofErr w:type="spellStart"/>
            <w:r w:rsidRPr="00AC389A">
              <w:rPr>
                <w:b/>
                <w:sz w:val="22"/>
              </w:rPr>
              <w:t>Дополнительные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требования</w:t>
            </w:r>
            <w:proofErr w:type="spellEnd"/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1. Проектно-сметная документация должна быть выполнена в строго соответствии со следующими нормативно-правовыми актами и НТД (согласно п. 2.3 ТУ):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Постановлением Правительства РФ от 16.02.2008 № 87;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Постановлением Правительства РФ от 25.03.2015 № 272;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Р 21.101-2026 «Основные требования к проектной и рабочей документации»;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21.110-2013 «СПДС. Спецификация оборудования, изделий и материалов»;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Р 51241-2008 «Средства и системы контроля и управления доступом»;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31471-2021 «Устройства экстренного открывания дверей эвакуационных выходов»;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31565-2012 «Кабельные изделия. Требования пожарной безопасности»;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СП 12.13130.2009 «Определение категорий помещений по пожарной опасности»;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СП 6.13130 «Электроустановки низковольтные. Требования пожарной безопасности»;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Р 70303-2022 «Заземление телекоммуникационных систем»;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СП 76.13330.2016 «Электротехнические устройства»;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Правилами устройства электроустановок (ПУЭ);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Р 064-2024 «Выбор и применение технических средств СКУД»;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ГОСТ Р 54831-2011 «Устройства преграждающие управляемые»;</w:t>
            </w:r>
          </w:p>
          <w:p w:rsidR="00AC389A" w:rsidRPr="00AC389A" w:rsidRDefault="00AC389A" w:rsidP="00AC389A">
            <w:pPr>
              <w:spacing w:before="40" w:after="40"/>
              <w:ind w:left="425" w:hanging="227"/>
              <w:jc w:val="both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 xml:space="preserve">• </w:t>
            </w:r>
            <w:r w:rsidRPr="00AC389A">
              <w:rPr>
                <w:sz w:val="22"/>
                <w:lang w:val="ru-RU"/>
              </w:rPr>
              <w:t>СП 484.1311500.2020 «Системы пожарной сигнализации и автоматизация СПЗ».</w:t>
            </w:r>
            <w:r w:rsidRPr="00AC389A">
              <w:rPr>
                <w:sz w:val="22"/>
                <w:lang w:val="ru-RU"/>
              </w:rPr>
              <w:br/>
            </w:r>
          </w:p>
          <w:p w:rsidR="00AC389A" w:rsidRPr="00AC389A" w:rsidRDefault="00AC389A" w:rsidP="00AC389A">
            <w:pPr>
              <w:spacing w:before="40" w:after="40"/>
              <w:rPr>
                <w:sz w:val="22"/>
                <w:lang w:val="ru-RU"/>
              </w:rPr>
            </w:pPr>
            <w:r w:rsidRPr="00AC389A">
              <w:rPr>
                <w:b/>
                <w:sz w:val="22"/>
                <w:lang w:val="ru-RU"/>
              </w:rPr>
              <w:t>2. Дополнительные требования:</w:t>
            </w:r>
          </w:p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</w:rPr>
            </w:pPr>
            <w:r w:rsidRPr="00AC389A">
              <w:rPr>
                <w:sz w:val="22"/>
                <w:lang w:val="ru-RU"/>
              </w:rPr>
              <w:t>2.1. К техническому заданию необходимо приложить расчёт стоимости на проектирование.</w:t>
            </w:r>
            <w:r w:rsidRPr="00AC389A">
              <w:rPr>
                <w:sz w:val="22"/>
                <w:lang w:val="ru-RU"/>
              </w:rPr>
              <w:br/>
              <w:t>2.2. Техническое задание должно составляться в соответствии с действующими документами и требованиями ТУ. Ограничение по сроку действия технических условий — 3 (три) года с момента выдачи (п. 2.4.1 ТУ).</w:t>
            </w:r>
            <w:r w:rsidRPr="00AC389A">
              <w:rPr>
                <w:sz w:val="22"/>
                <w:lang w:val="ru-RU"/>
              </w:rPr>
              <w:br/>
              <w:t xml:space="preserve">2.3. Предусмотреть в приоритетном порядке использование в рабочей документации оборудования, изделий и материалов, включенных в единый реестр российской промышленной продукции (постановление Правительства РФ от 17.07.2015 № 719). В спецификации должен быть добавлен столбец с указанием номера в едином реестре российской продукции (п. 1.1, 2.4.2, разд. </w:t>
            </w:r>
            <w:r w:rsidRPr="00AC389A">
              <w:rPr>
                <w:sz w:val="22"/>
              </w:rPr>
              <w:t xml:space="preserve">3 ТУ). </w:t>
            </w:r>
            <w:proofErr w:type="spellStart"/>
            <w:r w:rsidRPr="00AC389A">
              <w:rPr>
                <w:sz w:val="22"/>
              </w:rPr>
              <w:t>Указание</w:t>
            </w:r>
            <w:proofErr w:type="spellEnd"/>
            <w:r w:rsidRPr="00AC389A">
              <w:rPr>
                <w:sz w:val="22"/>
              </w:rPr>
              <w:t xml:space="preserve"> </w:t>
            </w:r>
            <w:proofErr w:type="spellStart"/>
            <w:r w:rsidRPr="00AC389A">
              <w:rPr>
                <w:sz w:val="22"/>
              </w:rPr>
              <w:t>об</w:t>
            </w:r>
            <w:proofErr w:type="spellEnd"/>
            <w:r w:rsidRPr="00AC389A">
              <w:rPr>
                <w:sz w:val="22"/>
              </w:rPr>
              <w:t xml:space="preserve"> </w:t>
            </w:r>
            <w:proofErr w:type="spellStart"/>
            <w:r w:rsidRPr="00AC389A">
              <w:rPr>
                <w:sz w:val="22"/>
              </w:rPr>
              <w:t>эквивалентности</w:t>
            </w:r>
            <w:proofErr w:type="spellEnd"/>
            <w:r w:rsidRPr="00AC389A">
              <w:rPr>
                <w:sz w:val="22"/>
              </w:rPr>
              <w:t xml:space="preserve"> </w:t>
            </w:r>
            <w:proofErr w:type="spellStart"/>
            <w:r w:rsidRPr="00AC389A">
              <w:rPr>
                <w:sz w:val="22"/>
              </w:rPr>
              <w:t>по</w:t>
            </w:r>
            <w:proofErr w:type="spellEnd"/>
            <w:r w:rsidRPr="00AC389A">
              <w:rPr>
                <w:sz w:val="22"/>
              </w:rPr>
              <w:t xml:space="preserve"> </w:t>
            </w:r>
            <w:proofErr w:type="spellStart"/>
            <w:r w:rsidRPr="00AC389A">
              <w:rPr>
                <w:sz w:val="22"/>
              </w:rPr>
              <w:t>ст</w:t>
            </w:r>
            <w:proofErr w:type="spellEnd"/>
            <w:r w:rsidRPr="00AC389A">
              <w:rPr>
                <w:sz w:val="22"/>
              </w:rPr>
              <w:t>. 33 44-ФЗ.</w:t>
            </w: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3.4. </w:t>
            </w:r>
            <w:proofErr w:type="spellStart"/>
            <w:r w:rsidRPr="00AC389A">
              <w:rPr>
                <w:b/>
                <w:sz w:val="22"/>
              </w:rPr>
              <w:t>Особые</w:t>
            </w:r>
            <w:proofErr w:type="spellEnd"/>
            <w:r w:rsidRPr="00AC389A">
              <w:rPr>
                <w:b/>
                <w:sz w:val="22"/>
              </w:rPr>
              <w:t xml:space="preserve"> </w:t>
            </w:r>
            <w:proofErr w:type="spellStart"/>
            <w:r w:rsidRPr="00AC389A">
              <w:rPr>
                <w:b/>
                <w:sz w:val="22"/>
              </w:rPr>
              <w:t>требования</w:t>
            </w:r>
            <w:proofErr w:type="spellEnd"/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В техническое задание могут быть внесены изменения по согласованию с СПб ГКУ «ГМЦ».</w:t>
            </w:r>
          </w:p>
        </w:tc>
      </w:tr>
      <w:tr w:rsidR="00AC389A" w:rsidRPr="00173B02" w:rsidTr="00AC389A">
        <w:trPr>
          <w:cantSplit/>
          <w:jc w:val="center"/>
        </w:trPr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ind w:left="127"/>
              <w:rPr>
                <w:sz w:val="22"/>
              </w:rPr>
            </w:pPr>
            <w:r w:rsidRPr="00AC389A">
              <w:rPr>
                <w:b/>
                <w:sz w:val="22"/>
              </w:rPr>
              <w:t xml:space="preserve">3.5. </w:t>
            </w:r>
            <w:proofErr w:type="spellStart"/>
            <w:r w:rsidRPr="00AC389A">
              <w:rPr>
                <w:b/>
                <w:sz w:val="22"/>
              </w:rPr>
              <w:t>Согласования</w:t>
            </w:r>
            <w:proofErr w:type="spellEnd"/>
          </w:p>
        </w:tc>
        <w:tc>
          <w:tcPr>
            <w:tcW w:w="8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hideMark/>
          </w:tcPr>
          <w:p w:rsidR="00AC389A" w:rsidRPr="00AC389A" w:rsidRDefault="00AC389A" w:rsidP="00AC389A">
            <w:pPr>
              <w:spacing w:before="40" w:after="40"/>
              <w:jc w:val="both"/>
              <w:rPr>
                <w:sz w:val="22"/>
                <w:lang w:val="ru-RU"/>
              </w:rPr>
            </w:pPr>
            <w:r w:rsidRPr="00AC389A">
              <w:rPr>
                <w:sz w:val="22"/>
                <w:lang w:val="ru-RU"/>
              </w:rPr>
              <w:t>1. План расположения оборудования, структурные схемы, схемы прокладки кабелей и др. должны быть согласованы с Заказчиком и владельцем защищаемых помещений (подпись и печать).</w:t>
            </w:r>
            <w:r w:rsidRPr="00AC389A">
              <w:rPr>
                <w:sz w:val="22"/>
                <w:lang w:val="ru-RU"/>
              </w:rPr>
              <w:br/>
              <w:t>2. В случае если здание находится под охраной государства, документы должны быть согласованы с Комитетом по государственному контролю, использованию и охране памятников истории и культуры (КГИОП).</w:t>
            </w:r>
            <w:r w:rsidRPr="00AC389A">
              <w:rPr>
                <w:sz w:val="22"/>
                <w:lang w:val="ru-RU"/>
              </w:rPr>
              <w:br/>
              <w:t>3. Техническое задание и проектно-сметная документация согласовываются в СПб ГКУ «ГМЦ» на соответствие выданным техническим условиям.</w:t>
            </w:r>
          </w:p>
        </w:tc>
      </w:tr>
    </w:tbl>
    <w:p w:rsidR="00AC389A" w:rsidRPr="00AC389A" w:rsidRDefault="00AC389A" w:rsidP="00173B02">
      <w:pPr>
        <w:spacing w:before="320" w:after="120"/>
        <w:rPr>
          <w:rFonts w:eastAsia="MS Mincho" w:cs="Times New Roman"/>
          <w:sz w:val="22"/>
          <w:lang w:val="ru-RU"/>
        </w:rPr>
      </w:pPr>
    </w:p>
    <w:sectPr w:rsidR="00AC389A" w:rsidRPr="00AC389A" w:rsidSect="006327EF">
      <w:pgSz w:w="12240" w:h="15840"/>
      <w:pgMar w:top="284" w:right="850" w:bottom="993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6C08DE"/>
    <w:multiLevelType w:val="multilevel"/>
    <w:tmpl w:val="D11CC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13E6"/>
    <w:rsid w:val="0006063C"/>
    <w:rsid w:val="00113446"/>
    <w:rsid w:val="0015074B"/>
    <w:rsid w:val="00173B02"/>
    <w:rsid w:val="001E7347"/>
    <w:rsid w:val="0020179C"/>
    <w:rsid w:val="0029639D"/>
    <w:rsid w:val="00326F90"/>
    <w:rsid w:val="004435A1"/>
    <w:rsid w:val="006327EF"/>
    <w:rsid w:val="006356B6"/>
    <w:rsid w:val="00673888"/>
    <w:rsid w:val="006C65E6"/>
    <w:rsid w:val="0079421E"/>
    <w:rsid w:val="007B4D8C"/>
    <w:rsid w:val="00867254"/>
    <w:rsid w:val="008E0774"/>
    <w:rsid w:val="00981C41"/>
    <w:rsid w:val="00AA1D8D"/>
    <w:rsid w:val="00AC389A"/>
    <w:rsid w:val="00B47730"/>
    <w:rsid w:val="00C328B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F644E"/>
  <w14:defaultImageDpi w14:val="300"/>
  <w15:docId w15:val="{F0D31A1D-125D-4287-8970-FEC2C149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14">
    <w:name w:val="Сетка таблицы1"/>
    <w:basedOn w:val="a3"/>
    <w:next w:val="aff0"/>
    <w:uiPriority w:val="59"/>
    <w:rsid w:val="00AC389A"/>
    <w:pPr>
      <w:spacing w:after="0" w:line="240" w:lineRule="auto"/>
    </w:pPr>
    <w:rPr>
      <w:rFonts w:ascii="Cambria" w:eastAsia="MS Mincho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AC35CA-E2CB-4577-8A98-17C50F858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2587</Words>
  <Characters>14751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17304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dmsh</cp:lastModifiedBy>
  <cp:revision>6</cp:revision>
  <dcterms:created xsi:type="dcterms:W3CDTF">2026-07-01T08:45:00Z</dcterms:created>
  <dcterms:modified xsi:type="dcterms:W3CDTF">2026-07-07T09:30:00Z</dcterms:modified>
  <cp:category/>
</cp:coreProperties>
</file>