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media/image1.wmf" ContentType="image/x-wmf"/>
  <Override PartName="/word/media/image2.wmf" ContentType="image/x-wmf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 w:val="false"/>
          <w:bCs w:val="false"/>
        </w:rPr>
      </w:pPr>
      <w:r>
        <w:rPr>
          <w:b w:val="false"/>
          <w:bCs w:val="false"/>
          <w:color w:val="000000"/>
          <w:sz w:val="24"/>
          <w:szCs w:val="24"/>
        </w:rPr>
        <w:t xml:space="preserve"> </w:t>
      </w:r>
      <w:r>
        <w:rPr>
          <w:b w:val="false"/>
          <w:bCs w:val="false"/>
          <w:color w:val="000000"/>
          <w:sz w:val="24"/>
          <w:szCs w:val="24"/>
        </w:rPr>
        <w:t>Приложение № 8 к Описанию закупки</w:t>
      </w:r>
    </w:p>
    <w:p>
      <w:pPr>
        <w:pStyle w:val="Normal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Расчет начальной (максимальной) цены контракта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Начальная (максимальная) цена контракта сформирована Госзаказчиком</w:t>
      </w:r>
      <w:r>
        <w:rPr>
          <w:color w:val="000000"/>
          <w:sz w:val="24"/>
          <w:szCs w:val="24"/>
        </w:rPr>
        <w:t xml:space="preserve"> методом сопоставимых рыночных цен (анализа рынка) на основании ст.22 Федерального закона от 05.04.2013 № 44-ФЗ «О контрактной системе в сфере закупок товаров, работ, услуг для 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платежей.</w:t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Для определения начальной (максимальной) цены контракта проведен мониторинг на основании ценовых предложений исполнителей</w:t>
      </w:r>
      <w:r>
        <w:rPr>
          <w:b w:val="false"/>
          <w:i w:val="false"/>
          <w:strike w:val="false"/>
          <w:dstrike w:val="false"/>
          <w:shadow w:val="false"/>
          <w:color w:val="000000"/>
          <w:spacing w:val="0"/>
          <w:sz w:val="22"/>
          <w:szCs w:val="24"/>
          <w:u w:val="none"/>
          <w:shd w:fill="FFFFFF" w:val="clear"/>
        </w:rPr>
        <w:t xml:space="preserve"> контрактов на сайте: estore.gz-spb.ru и запроса ценовой информации в ЕИС от 22.06.2026 № 0372200054826000036.</w:t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 ЦЕНА № 1 :</w:t>
      </w:r>
      <w:r>
        <w:rPr>
          <w:rStyle w:val="Hyperlink"/>
          <w:rFonts w:eastAsia="Times New Roman"/>
          <w:b w:val="false"/>
          <w:bCs w:val="false"/>
          <w:color w:val="auto"/>
          <w:sz w:val="24"/>
          <w:szCs w:val="24"/>
          <w:u w:val="none"/>
          <w:lang w:eastAsia="ru-RU"/>
        </w:rPr>
        <w:t>Коммерческое предложение № 01-26-950/26-0-0</w:t>
      </w:r>
    </w:p>
    <w:p>
      <w:pPr>
        <w:pStyle w:val="Normal"/>
        <w:widowControl w:val="false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ЦЕНА № 2 : </w:t>
      </w:r>
      <w:r>
        <w:rPr>
          <w:rStyle w:val="Hyperlink"/>
          <w:color w:val="000000"/>
          <w:sz w:val="24"/>
          <w:szCs w:val="24"/>
          <w:u w:val="none"/>
          <w:shd w:fill="auto" w:val="clear"/>
        </w:rPr>
        <w:t>Реестровый номер контракта 8131725E00051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3. </w:t>
      </w:r>
      <w:bookmarkStart w:id="0" w:name="_GoBack"/>
      <w:bookmarkEnd w:id="0"/>
      <w:r>
        <w:rPr>
          <w:sz w:val="24"/>
          <w:szCs w:val="24"/>
        </w:rPr>
        <w:t xml:space="preserve">ЦЕНА № 3 : Реестровый номер контракта </w:t>
      </w:r>
      <w:r>
        <w:rPr>
          <w:rStyle w:val="Hyperlink"/>
          <w:color w:val="000000"/>
          <w:sz w:val="24"/>
          <w:szCs w:val="24"/>
          <w:u w:val="none"/>
          <w:shd w:fill="auto" w:val="clear"/>
        </w:rPr>
        <w:t>8132225E00027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2723"/>
        <w:gridCol w:w="832"/>
        <w:gridCol w:w="836"/>
        <w:gridCol w:w="1390"/>
        <w:gridCol w:w="1394"/>
        <w:gridCol w:w="1531"/>
        <w:gridCol w:w="1250"/>
        <w:gridCol w:w="1375"/>
        <w:gridCol w:w="1541"/>
        <w:gridCol w:w="1114"/>
      </w:tblGrid>
      <w:tr>
        <w:trPr/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№ </w:t>
            </w:r>
            <w:r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Ед.изм.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Цена № 1, руб (ц</w:t>
            </w:r>
            <w:r>
              <w:rPr>
                <w:b/>
                <w:color w:val="000000"/>
                <w:sz w:val="20"/>
                <w:szCs w:val="20"/>
                <w:vertAlign w:val="subscript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Цена №2, руб (ц</w:t>
            </w:r>
            <w:r>
              <w:rPr>
                <w:b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Цена №3, руб (ц</w:t>
            </w:r>
            <w:r>
              <w:rPr>
                <w:b/>
                <w:color w:val="000000"/>
                <w:sz w:val="20"/>
                <w:szCs w:val="20"/>
                <w:vertAlign w:val="subscript"/>
              </w:rPr>
              <w:t>3</w:t>
            </w:r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25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Средняя цена, руб. &lt;ц&gt;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Коэффициент вариации</w:t>
            </w:r>
          </w:p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V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Среднее квадратичное отклонение, </w:t>
            </w:r>
            <w:r>
              <w:rPr>
                <w:color w:val="000000"/>
                <w:sz w:val="20"/>
                <w:szCs w:val="20"/>
              </w:rPr>
              <w:t>σ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НМЦК, руб.</w:t>
            </w:r>
          </w:p>
        </w:tc>
      </w:tr>
      <w:tr>
        <w:trPr>
          <w:trHeight w:val="690" w:hRule="atLeast"/>
        </w:trPr>
        <w:tc>
          <w:tcPr>
            <w:tcW w:w="5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72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76" w:before="0" w:after="200"/>
              <w:ind w:hanging="0" w:left="0" w:right="0"/>
              <w:jc w:val="left"/>
              <w:rPr>
                <w:rFonts w:ascii="Times New Roman" w:hAnsi="Times New Roman"/>
                <w:color w:val="000000"/>
                <w:spacing w:val="0"/>
                <w:kern w:val="0"/>
                <w:sz w:val="20"/>
                <w:szCs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Оказание услуг по организации и проведению торгов в форме открытого аукциона для продажи транспортного средства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Усл.ед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20000,00</w:t>
            </w:r>
          </w:p>
        </w:tc>
        <w:tc>
          <w:tcPr>
            <w:tcW w:w="139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20000,00</w:t>
            </w:r>
          </w:p>
        </w:tc>
        <w:tc>
          <w:tcPr>
            <w:tcW w:w="153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19300,00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19766,67</w:t>
            </w:r>
          </w:p>
        </w:tc>
        <w:tc>
          <w:tcPr>
            <w:tcW w:w="137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404,15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19766,67</w:t>
            </w:r>
          </w:p>
        </w:tc>
      </w:tr>
      <w:tr>
        <w:trPr>
          <w:trHeight w:val="690" w:hRule="atLeast"/>
        </w:trPr>
        <w:tc>
          <w:tcPr>
            <w:tcW w:w="13453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19766,67</w:t>
            </w:r>
          </w:p>
        </w:tc>
      </w:tr>
    </w:tbl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п.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/>
        <w:drawing>
          <wp:inline distT="0" distB="0" distL="0" distR="0">
            <wp:extent cx="1184910" cy="32575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32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где: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  -  коэффициент вариации;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σ - среднее квадратичное отклонение;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</w:t>
      </w:r>
      <w:r>
        <w:rPr>
          <w:color w:val="000000"/>
          <w:sz w:val="24"/>
          <w:szCs w:val="24"/>
          <w:vertAlign w:val="subscript"/>
        </w:rPr>
        <w:t>i</w:t>
      </w:r>
      <w:r>
        <w:rPr>
          <w:color w:val="000000"/>
          <w:sz w:val="24"/>
          <w:szCs w:val="24"/>
        </w:rPr>
        <w:t xml:space="preserve"> - цена единицы товара, работы, услуги, указанная в источнике с номером i;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&lt;ц&gt; - средняя арифметическая величина цены единицы товара, работы, услуги;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 - количество значений, используемых в расчете.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Коэффициент вариации не превышает 33%, что подтверждает однородность совокупности значений, используемых в расчете, при определении НМЦ дератизации.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соответствии с п.3.21 методических рекомендаций НМЦК методом сопоставимых рыночных цен (анализа рынка) определяется по формуле: 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/>
        <w:drawing>
          <wp:inline distT="0" distB="0" distL="0" distR="0">
            <wp:extent cx="1590040" cy="325755"/>
            <wp:effectExtent l="0" t="0" r="0" b="0"/>
            <wp:docPr id="2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32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где: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НМЦК, определяемая методом сопоставимых рыночных цен (анализа рынка);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 - количество (объем) закупаемого товара (работы, услуги);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 - количество значений, используемых в расчете;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 - номер источника ценовой информации; </w:t>
      </w:r>
      <w:r>
        <w:rPr>
          <w:rFonts w:eastAsia="Times New Roman"/>
          <w:sz w:val="24"/>
          <w:szCs w:val="24"/>
        </w:rPr>
        <w:t>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ИТОГО начальная (максимальная) цена контракта составляет – 19 766</w:t>
      </w:r>
      <w:r>
        <w:rPr>
          <w:b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рублей 67 копеек.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b/>
          <w:sz w:val="22"/>
        </w:rPr>
        <w:t>Начальник отдела материально-технического снабжения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b/>
          <w:sz w:val="22"/>
        </w:rPr>
        <w:t xml:space="preserve"> </w:t>
      </w:r>
      <w:r>
        <w:rPr>
          <w:b/>
          <w:sz w:val="22"/>
        </w:rPr>
        <w:t xml:space="preserve">СПб ГКУ ТЦ ПС </w:t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М.В.Самуйлов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b/>
          <w:sz w:val="22"/>
        </w:rPr>
        <w:t>«___»_____________ 2026 года</w:t>
      </w:r>
    </w:p>
    <w:sectPr>
      <w:type w:val="nextPage"/>
      <w:pgSz w:orient="landscape" w:w="16838" w:h="11906"/>
      <w:pgMar w:left="1418" w:right="851" w:gutter="0" w:header="0" w:top="851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DejaVu Sans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Текст выноски Знак"/>
    <w:basedOn w:val="DefaultParagraphFont"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Times new roman" w:hAnsi="Times new roman" w:cs="Droid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IndexHeading">
    <w:name w:val="index heading"/>
    <w:basedOn w:val="Normal"/>
    <w:pPr>
      <w:suppressLineNumbers/>
    </w:pPr>
    <w:rPr>
      <w:rFonts w:cs="Droid Sans Devanagari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numbering" w:styleId="Style19">
    <w:name w:val="Без списка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1277</TotalTime>
  <Application>LibreOffice/24.8.7.2$Linux_X86_64 LibreOffice_project/e07d0a63a46349d29051da79b1fde8160bab2a89</Application>
  <AppVersion>15.0000</AppVersion>
  <Pages>2</Pages>
  <Words>427</Words>
  <Characters>2926</Characters>
  <CharactersWithSpaces>3334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2026-03-13T08:35:00Z</dcterms:created>
  <dc:creator>Козырева Светлана Викторовна</dc:creator>
  <dc:description/>
  <dc:language>ru-RU</dc:language>
  <cp:lastModifiedBy/>
  <cp:lastPrinted>2026-03-16T15:47:22Z</cp:lastPrinted>
  <dcterms:modified xsi:type="dcterms:W3CDTF">2026-07-02T16:18:17Z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