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1. Термины и определения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настоящем документе применяют следующие термины с соответствующими определениями:</w:t>
      </w:r>
    </w:p>
    <w:tbl>
      <w:tblPr>
        <w:tblW w:w="5000" w:type="pct"/>
        <w:jc w:val="left"/>
        <w:tblInd w:w="-5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  <w:tblLook w:firstRow="0" w:noVBand="0" w:lastRow="0" w:firstColumn="0" w:lastColumn="0" w:noHBand="0" w:val="0000"/>
      </w:tblPr>
      <w:tblGrid>
        <w:gridCol w:w="563"/>
        <w:gridCol w:w="2437"/>
        <w:gridCol w:w="6355"/>
      </w:tblGrid>
      <w:tr>
        <w:trPr>
          <w:tblHeader w:val="true"/>
          <w:cantSplit w:val="true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Термин, сокращение</w:t>
            </w:r>
          </w:p>
        </w:tc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Описание, определение, расшифровка</w:t>
            </w:r>
          </w:p>
        </w:tc>
      </w:tr>
      <w:tr>
        <w:trPr>
          <w:trHeight w:val="1220" w:hRule="atLeast"/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система (АС)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система «человек-машина», функционирование которой осуществляется с применением вычислительных средств, медицинской информационной базы и техники для эффективной реализации медицинской программы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медицинская система обработки данных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медицинская система, осуществляющая сбор или прием, передачу и логическое преобразование, выдачу с регистрацией и (или) отображением, накопление и (или) хранение медико-биологических данных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медицинская информационная система (МИС)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Автоматизированная медицинская система обработки данных, осуществляющая организацию базы данных, а также поиск и сортировку медико-биологических данных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БД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База данных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ИС, Информационная система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Отчуждаемый продукт информационных технологий, представляющий собой информационное ядро автоматизированной системы (АС, ГОСТ 34). В состав информационной системы включаются те компоненты АС, которые могут быть отчуждаемы (отделены от объекта автоматизации и представлены в виде многократно используемого тиражируемого ИТ продукта): прикладные программы, информационные средства (БД и СУБД), документация, необходимая для использования и эксплуатации ИС. Под использованием здесь следует также понимать использование ИС при создании на объекте автоматизации АС на ее основе.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 инфраструктура и персонал АС в состав ИС не включаются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технология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Персональный компьютер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Программное обеспечение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СУБД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управления базами данных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ЛВС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Локальная вычислительная сеть</w:t>
            </w:r>
          </w:p>
        </w:tc>
      </w:tr>
      <w:tr>
        <w:trPr>
          <w:cantSplit w:val="true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DICOM</w:t>
            </w:r>
          </w:p>
        </w:tc>
        <w:tc>
          <w:tcPr>
            <w:tcW w:w="6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Digital Imaging and Communications in Medicine - медицинский отраслевой стандарт создания, хранения, передачи и визуализации цифровых медицинских изображений и документов обследованных пациентов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2. Цели и обоснование оказания услуг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Целью оказания услуг является: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2.1 Расширение существующего информационного пространства Заказчика, основанного на ранее приобретенной и внедренной Медицинской Информационной Системе «Комплекс Программных Средств «Система Автоматизации Медико-Страхового Обслуживания Населения» «САМСОН» (далее - МИС)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2.2 Внедрение и настройка сервисов и функциональных механизмов эксплуатируемой Медицинской Информационной Системы «Комплекс Программных Средств «Система Автоматизации Медико-Страхового Обслуживания Населения» «САМСОН» в соответствии с Таблицей 1.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ab/>
        <w:t>2.3 Источник финансирования закупки: Внебюджетные средства. Средства бюджетных учреждений. Код вида расходов 244 (Внебюджетные средства – 110 040,00 руб.), код ОСГУ 226.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 Сервисы и функциональные механизмы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7"/>
        <w:gridCol w:w="3287"/>
        <w:gridCol w:w="4931"/>
      </w:tblGrid>
      <w:tr>
        <w:trPr/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сервиса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Сервисы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Функциональные механизмы</w:t>
            </w:r>
          </w:p>
        </w:tc>
      </w:tr>
      <w:tr>
        <w:trPr>
          <w:trHeight w:val="338" w:hRule="atLeast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Параклиника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Инструментальная диагностика</w:t>
            </w:r>
          </w:p>
        </w:tc>
      </w:tr>
      <w:tr>
        <w:trPr>
          <w:trHeight w:val="115" w:hRule="atLeast"/>
        </w:trPr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Интеграция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Инструментальное оборудование (DICOM) 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3. Сроки оказания услуг, место оказания услуг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3.1 Срок оказания услуг: 40 рабочих дней с момента заключения.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3.2 Услуги могут быть оказаны досрочно.</w:t>
      </w:r>
    </w:p>
    <w:p>
      <w:pPr>
        <w:pStyle w:val="Normal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ab/>
        <w:t>3.3 Место оказания услуг: Услуги по контракту оказываются по месту нахождения Заказчика (СПб ГБУЗ «Городская поликлиника №111», СПб, ул. Ольховая, д.2, удаленно) с использованием телекоммуникационных сетей связи.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3.4 Если Заказчик не предоставляет необходимое оборудование для оказания услуг, то Исполнитель к оказанию услуг не приступает, действие Контракта приостанавливается до дня исполнения Заказчиком своих обязательств.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4. Требования к оказываемым услугам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4.1 Функциональные требования к внедряемым сервисам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4.1.1 Параклиника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Назначение сервиса: Формирования электронной медицинской карты пациента в части диагностических исследований.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Функциональные механизмы: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4.1.1.1 Инструментальная диагностика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Планирование ресурсов подразделений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Регистрация врачебных назначений на инструментальные исследования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Регистрация заключений проводимых инструментальных исследований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Использование шаблонов назначения исследований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Управление рабочими листами исполнителей назначений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Использование шаблонов заполнения заключений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4.1.2 Интеграция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Функциональные механизмы: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4.1.2.1 Инструментальное оборудование (DICOM)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Формирование рабочего листа диагностического оборудования на основании данных, зарегистрированных в МИС (при наличии технической возможности на оборудовании)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Передача снимка, полученного на оборудовании в архив медицинских изображений (при наличии на оборудовании DICOM-модуля).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5. Работы, проводимые в рамках внедрения сервисов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5.1 Заказчик предоставляет Исполнителю всю необходимую для настройки информацию в соответствии с предоставленными Исполнителем образцами не позднее 10 рабочих дней с момента заключения контракта.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5.2 Параклиника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5.2.1 Инструментальная диагностика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Настройка типов действий для регистрации заключений инструментальных исследований, в соответствии с данными, предоставленными Заказчиком, проводимых на подключаемом оборудовании.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5.3 Интеграция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Настройка интеграции с инструментальным оборудованием по протоколу DICOM: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Рентгеновский аппарат "Система универсальная рентгенографическая диагностическая «УнивеРС-МТ» по ТУ 9442-024-47245915-2007" производитель ЗАО "МТЛ".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Настройка свойств справочника «Типы действий» для сохранения ссылки на снимок.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5.4 Консультация специалистов Заказчика по использованию и администрированию внедряемых сервисов. Консультация производится удаленно с использованием средств видеоконференцсвязи. Длительность консультации составляет не более 1 часа на каждый функциональный механизм.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5.5 Предоставление Заказчику инструкций по работе с внедряемыми сервисами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5.6 В предмет закупки не входят следующие услуги: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подключение, администрирование и предоставление телекоммуникационных услуг и каналов связи;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 монтаж и поддержание в рабочем состоянии локальных вычислительных сетей;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поддержание в рабочем состоянии вычислительной техники, периферийных устройств, активного сетевого оборудования и прочих элементов ИТ инфраструктуры;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настройка и установка операционных систем;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настройка и установка браузеров (в том числе плагинов, необходимых для работы информационной системы). В случае необходимости установки новой версии браузера, плагина или замены браузера, подобные работы осуществляются силами Заказчика;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 настройка и установка СКЗИ Крипто-Про или других СКЗИ.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6. Требования к качеству и безопасности услуг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6.1 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Заказчиком.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6.2 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6.3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6.4 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и организационно-распорядительными документами Заказчика.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6.5 Не допускается в процессе производства работ создание отдельных (модульных, «оконных» и т.п.) систем, обслуживающих или взаимодействующих с МИС. Реализуемые сервисы и механизмы МИС должны быть интегрированы в интерфейс МИС и корректно взаимодействовать с уже существующими функциональными механизмами.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6.6 В случае обновления, функциональные механизмы МИС не должны нарушать целостность существующих механизмов МИС, менять алгоритмы их работы, а также нарушать алгоритмы работы предприятия Заказчика без объективной необходимости.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6.7 Разрабатываемые/сопровождаемые программные средства МИС не должны допускать и содержать не декларированных возможностей и известных уязвимостей информационной безопасности.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6.8 В случае, если для оказания услуг необходимо использование программного обеспечения, принадлежащего третьим лицам, Исполнитель обязан согласовать возможность использования такого программного обеспечения с Получателем.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7. Требования к лицензированию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7.1 Для обеспечения лицензионной чистоты Исполнитель передает Заказчику неисключительную (пользовательскую) лицензию на использование сервисов и функциональных механизмов программного продукта "Медицинская Информационная Система «Комплекс Программных Средств «Система Автоматизации Медико-Страхового Обслуживания Населения» «САМСОН», в отношении которых оказываются услуги.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7.2 Лицензия должна быть передана для использования программного продукта путём воспроизведения, предоставленного конечным пользователям для инсталляции и запуска программного продукта в соответствии с документацией и условиями настоящего Технического задания.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7.3 Лицензия должна предоставляться для использования на неограниченном количестве рабочих станций (рабочие места конечных пользователей). От имени Заказчика конечными пользователями программного продукта выступают физические лица, непосредственно использующие программное обеспечение в пределах их функциональных возможностей по поручению и (или) с ведома Заказчика и в его уставных целях.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7.4 Размер вознаграждения за передачу неисключительных прав на использование программного продукта, созданных в ходе оказания услуг, должен быть включен в общую цену Договора.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7.5 Программный продукт может быть передан Заказчику путем установки (посредством удаленного доступа) на вычислительных ресурсах, предоставленных Заказчиком.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8. Рекомендуемые требования для поддержания информационной безопасности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8.1 Федеральный закон от 27.07.2006 №152-ФЗ «О персональных данных»;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8.2 Федеральный закон от 27.07.2006 №149-ФЗ «Об информации, информационных технологиях и о защиты информации»;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8.3 Постановление Правительства РФ от 01.11.2012 №1119 «Об утверждении требований к защите персональных данных при их обработке в информационных системах персональных данных».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8.4 ГОСТ Р 50922-2006 «Защита информации. Основные термины и определения».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8.5 ГОСТ Р 53114-2008 «Защита информации. Обеспечение информационной безопасности в организации. Основные термины и определения».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8.6 ГОСТ Р 51624-2000 «Защита информации. Автоматизированные системы в защищенном исполнении. Общие требования».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8.7 ГОСТ Р 51583-2014 «Защита информации. Порядок создания автоматизированных систем в защищенном исполнении. Общие положения».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9. Требования к сроку и объему предоставления гарантии качества услуг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9.1 Гарантийный срок на оказанные услуги: 1 (один) год с момента прекращения действия Контракта.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9.2 Гарантийные обязательства распространяются на все изменения, внесенные в исходные тексты МИС в течение действия Контракта. Исполнитель в течение срока действия Контракта и гарантийного срока обязуется не ограничивать функциональность МИС и доступа к данным.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9.3 Наличие дефектов и сроки их устранения фиксируются двухсторонним актом Исполнителя и Заказчика.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9.4 Устранение дефектов в рамках гарантийного срока осуществляется Исполнителем за свой счет.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9.5 Гарантийные обязательства досрочно прекращают свое действие, если в исходный текст МИС были внесены изменения в течение срока действия гарантийного обязательства, не связанные с устранением выявленных дефектов. Данное нарушение оформляется двусторонним актом. Подписание акта является основанием для возврата обеспечения гарантийных обязательств.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  <w:font w:name="Tahoma">
    <w:charset w:val="01"/>
    <w:family w:val="swiss"/>
    <w:pitch w:val="default"/>
  </w:font>
  <w:font w:name="Cambria">
    <w:charset w:val="01"/>
    <w:family w:val="swiss"/>
    <w:pitch w:val="default"/>
  </w:font>
  <w:font w:name="Calibri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BodyText"/>
    <w:link w:val="1"/>
    <w:qFormat/>
    <w:pPr>
      <w:keepNext w:val="true"/>
      <w:widowControl w:val="false"/>
      <w:numPr>
        <w:ilvl w:val="0"/>
        <w:numId w:val="1"/>
      </w:numPr>
      <w:spacing w:lineRule="auto" w:line="240" w:before="240" w:after="120"/>
      <w:outlineLvl w:val="0"/>
    </w:pPr>
    <w:rPr>
      <w:rFonts w:ascii="Arial" w:hAnsi="Arial" w:eastAsia="Microsoft YaHei" w:cs="Mangal"/>
      <w:b/>
      <w:bCs/>
      <w:sz w:val="32"/>
      <w:szCs w:val="32"/>
      <w:lang w:eastAsia="hi-IN" w:bidi="hi-IN"/>
    </w:rPr>
  </w:style>
  <w:style w:type="paragraph" w:styleId="Heading2">
    <w:name w:val="heading 2"/>
    <w:basedOn w:val="Normal"/>
    <w:next w:val="BodyText"/>
    <w:link w:val="21"/>
    <w:qFormat/>
    <w:pPr>
      <w:keepNext w:val="true"/>
      <w:widowControl w:val="false"/>
      <w:numPr>
        <w:ilvl w:val="1"/>
        <w:numId w:val="1"/>
      </w:numPr>
      <w:spacing w:lineRule="auto" w:line="240" w:before="240" w:after="120"/>
      <w:outlineLvl w:val="1"/>
    </w:pPr>
    <w:rPr>
      <w:rFonts w:ascii="Arial" w:hAnsi="Arial" w:eastAsia="Microsoft YaHei" w:cs="Mangal"/>
      <w:b/>
      <w:bCs/>
      <w:i/>
      <w:iCs/>
      <w:sz w:val="28"/>
      <w:szCs w:val="28"/>
      <w:lang w:eastAsia="hi-IN" w:bidi="hi-IN"/>
    </w:rPr>
  </w:style>
  <w:style w:type="paragraph" w:styleId="Heading3">
    <w:name w:val="heading 3"/>
    <w:basedOn w:val="Normal"/>
    <w:next w:val="BodyText"/>
    <w:link w:val="3"/>
    <w:qFormat/>
    <w:pPr>
      <w:keepNext w:val="true"/>
      <w:widowControl w:val="false"/>
      <w:numPr>
        <w:ilvl w:val="2"/>
        <w:numId w:val="1"/>
      </w:numPr>
      <w:spacing w:lineRule="auto" w:line="240" w:before="240" w:after="120"/>
      <w:outlineLvl w:val="2"/>
    </w:pPr>
    <w:rPr>
      <w:rFonts w:ascii="Arial" w:hAnsi="Arial" w:eastAsia="Microsoft YaHei" w:cs="Mangal"/>
      <w:b/>
      <w:bCs/>
      <w:sz w:val="28"/>
      <w:szCs w:val="28"/>
      <w:lang w:eastAsia="hi-IN" w:bidi="hi-IN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Style9" w:customStyle="1">
    <w:name w:val="Нижний колонтитул Знак"/>
    <w:basedOn w:val="DefaultParagraphFont"/>
    <w:uiPriority w:val="99"/>
    <w:qFormat/>
    <w:rPr/>
  </w:style>
  <w:style w:type="character" w:styleId="Style10" w:customStyle="1">
    <w:name w:val="Название объекта Знак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Style11" w:customStyle="1">
    <w:name w:val="Текст сноски Знак"/>
    <w:uiPriority w:val="99"/>
    <w:qFormat/>
    <w:rPr>
      <w:sz w:val="18"/>
    </w:rPr>
  </w:style>
  <w:style w:type="character" w:styleId="user" w:customStyle="1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2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user1" w:customStyle="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1" w:customStyle="1">
    <w:name w:val="Заголовок 1 Знак"/>
    <w:basedOn w:val="DefaultParagraphFont"/>
    <w:qFormat/>
    <w:rPr>
      <w:rFonts w:ascii="Arial" w:hAnsi="Arial" w:eastAsia="Microsoft YaHei" w:cs="Mangal"/>
      <w:b/>
      <w:bCs/>
      <w:sz w:val="32"/>
      <w:szCs w:val="32"/>
      <w:lang w:eastAsia="hi-IN" w:bidi="hi-IN"/>
    </w:rPr>
  </w:style>
  <w:style w:type="character" w:styleId="21" w:customStyle="1">
    <w:name w:val="Заголовок 2 Знак"/>
    <w:basedOn w:val="DefaultParagraphFont"/>
    <w:qFormat/>
    <w:rPr>
      <w:rFonts w:ascii="Arial" w:hAnsi="Arial" w:eastAsia="Microsoft YaHei" w:cs="Mangal"/>
      <w:b/>
      <w:bCs/>
      <w:i/>
      <w:iCs/>
      <w:sz w:val="28"/>
      <w:szCs w:val="28"/>
      <w:lang w:eastAsia="hi-IN" w:bidi="hi-IN"/>
    </w:rPr>
  </w:style>
  <w:style w:type="character" w:styleId="3" w:customStyle="1">
    <w:name w:val="Заголовок 3 Знак"/>
    <w:basedOn w:val="DefaultParagraphFont"/>
    <w:qFormat/>
    <w:rPr>
      <w:rFonts w:ascii="Arial" w:hAnsi="Arial" w:eastAsia="Microsoft YaHei" w:cs="Mangal"/>
      <w:b/>
      <w:bCs/>
      <w:sz w:val="28"/>
      <w:szCs w:val="28"/>
      <w:lang w:eastAsia="hi-IN" w:bidi="hi-IN"/>
    </w:rPr>
  </w:style>
  <w:style w:type="character" w:styleId="Style15" w:customStyle="1">
    <w:name w:val="Основной текст Знак"/>
    <w:basedOn w:val="DefaultParagraphFont"/>
    <w:qFormat/>
    <w:rPr>
      <w:rFonts w:ascii="Times New Roman" w:hAnsi="Times New Roman" w:eastAsia="SimSun" w:cs="Mangal"/>
      <w:sz w:val="24"/>
      <w:szCs w:val="24"/>
      <w:lang w:eastAsia="hi-IN" w:bidi="hi-I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styleId="Style17" w:customStyle="1">
    <w:name w:val="Без интервала Знак"/>
    <w:basedOn w:val="DefaultParagraphFont"/>
    <w:link w:val="NoSpacing"/>
    <w:uiPriority w:val="1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18" w:customStyle="1">
    <w:name w:val="Текст примечания Знак"/>
    <w:basedOn w:val="DefaultParagraphFont"/>
    <w:uiPriority w:val="99"/>
    <w:semiHidden/>
    <w:qFormat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Style19" w:customStyle="1">
    <w:name w:val="Тема примечания Знак"/>
    <w:basedOn w:val="Style18"/>
    <w:link w:val="annotationsubject"/>
    <w:uiPriority w:val="99"/>
    <w:semiHidden/>
    <w:qFormat/>
    <w:rPr>
      <w:b/>
      <w:bCs/>
      <w:sz w:val="20"/>
      <w:szCs w:val="20"/>
    </w:rPr>
  </w:style>
  <w:style w:type="character" w:styleId="11" w:customStyle="1">
    <w:name w:val="Основной текст Знак1"/>
    <w:uiPriority w:val="99"/>
    <w:qFormat/>
    <w:rPr>
      <w:rFonts w:ascii="Times New Roman" w:hAnsi="Times New Roman" w:cs="Times New Roman"/>
      <w:sz w:val="21"/>
      <w:szCs w:val="21"/>
      <w:shd w:fill="FFFFFF" w:val="clear"/>
    </w:rPr>
  </w:style>
  <w:style w:type="character" w:styleId="12" w:customStyle="1">
    <w:name w:val="Неразрешенное упоминание1"/>
    <w:basedOn w:val="DefaultParagraphFont"/>
    <w:uiPriority w:val="99"/>
    <w:semiHidden/>
    <w:unhideWhenUsed/>
    <w:qFormat/>
    <w:rPr>
      <w:color w:val="605E5C"/>
      <w:shd w:fill="E1DFDD" w:val="clear"/>
    </w:rPr>
  </w:style>
  <w:style w:type="character" w:styleId="docdata" w:customStyle="1">
    <w:name w:val="docdata"/>
    <w:basedOn w:val="DefaultParagraphFont"/>
    <w:qFormat/>
    <w:rPr/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Style20" w:customStyle="1">
    <w:name w:val="Основной текст с отступом Знак"/>
    <w:basedOn w:val="DefaultParagraphFont"/>
    <w:uiPriority w:val="99"/>
    <w:semiHidden/>
    <w:qFormat/>
    <w:rPr/>
  </w:style>
  <w:style w:type="character" w:styleId="Style21" w:customStyle="1">
    <w:name w:val="Обычный (веб) Знак"/>
    <w:link w:val="NormalWeb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BodyText">
    <w:name w:val="Body Text"/>
    <w:basedOn w:val="Normal"/>
    <w:link w:val="Style15"/>
    <w:pPr>
      <w:widowControl w:val="false"/>
      <w:spacing w:lineRule="auto" w:line="240" w:before="0" w:after="120"/>
    </w:pPr>
    <w:rPr>
      <w:rFonts w:ascii="Times New Roman" w:hAnsi="Times New Roman" w:eastAsia="SimSun" w:cs="Mangal"/>
      <w:sz w:val="24"/>
      <w:szCs w:val="24"/>
      <w:lang w:eastAsia="hi-IN" w:bidi="hi-IN"/>
    </w:rPr>
  </w:style>
  <w:style w:type="paragraph" w:styleId="List">
    <w:name w:val="List"/>
    <w:basedOn w:val="BodyText"/>
    <w:pPr/>
    <w:rPr>
      <w:rFonts w:eastAsia="Times New Roman" w:cs="Lucida Sans"/>
    </w:rPr>
  </w:style>
  <w:style w:type="paragraph" w:styleId="Caption">
    <w:name w:val="caption"/>
    <w:basedOn w:val="Normal"/>
    <w:next w:val="Normal"/>
    <w:link w:val="Style10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23">
    <w:name w:val="Указатель"/>
    <w:basedOn w:val="Normal"/>
    <w:qFormat/>
    <w:pPr>
      <w:suppressLineNumbers/>
    </w:pPr>
    <w:rPr>
      <w:rFonts w:ascii="Times New Roman" w:hAnsi="Times New Roman" w:eastAsia="Times New Roman" w:cs="Lucida Sans"/>
    </w:rPr>
  </w:style>
  <w:style w:type="paragraph" w:styleId="Title">
    <w:name w:val="Title"/>
    <w:basedOn w:val="Normal"/>
    <w:next w:val="BodyText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IndexHeading">
    <w:name w:val="index heading"/>
    <w:basedOn w:val="Title"/>
    <w:pPr/>
    <w:rPr/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user2" w:customStyle="1">
    <w:name w:val="Колонтитулы (user)"/>
    <w:basedOn w:val="Normal"/>
    <w:qFormat/>
    <w:pPr/>
    <w:rPr/>
  </w:style>
  <w:style w:type="paragraph" w:styleId="Style24">
    <w:name w:val="Колонтитулы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Style11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Style13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TableofFigures">
    <w:name w:val="table of figures"/>
    <w:basedOn w:val="Normal"/>
    <w:next w:val="Normal"/>
    <w:uiPriority w:val="99"/>
    <w:unhideWhenUsed/>
    <w:pPr>
      <w:spacing w:before="0" w:after="0"/>
    </w:pPr>
    <w:rPr/>
  </w:style>
  <w:style w:type="paragraph" w:styleId="ListParagraph">
    <w:name w:val="List Paragraph"/>
    <w:basedOn w:val="Normal"/>
    <w:uiPriority w:val="34"/>
    <w:qFormat/>
    <w:pPr>
      <w:spacing w:lineRule="auto" w:line="240" w:before="0" w:after="0"/>
      <w:ind w:left="7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link w:val="Style17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Lines/>
      <w:widowControl/>
      <w:numPr>
        <w:ilvl w:val="0"/>
        <w:numId w:val="0"/>
      </w:numPr>
      <w:spacing w:lineRule="auto" w:line="276" w:before="480" w:after="0"/>
      <w:outlineLvl w:val="9"/>
    </w:pPr>
    <w:rPr>
      <w:rFonts w:ascii="Cambria" w:hAnsi="Cambria" w:eastAsia="Arial" w:cs="Arial" w:asciiTheme="majorHAnsi" w:cstheme="majorBidi" w:eastAsiaTheme="majorEastAsia" w:hAnsiTheme="majorHAnsi"/>
      <w:color w:themeColor="accent1" w:themeShade="bf" w:val="365F91"/>
      <w:sz w:val="28"/>
      <w:szCs w:val="28"/>
      <w:lang w:eastAsia="ru-RU" w:bidi="ar-SA"/>
    </w:rPr>
  </w:style>
  <w:style w:type="paragraph" w:styleId="13" w:customStyle="1">
    <w:name w:val="Абзац списка1"/>
    <w:basedOn w:val="Normal"/>
    <w:qFormat/>
    <w:pPr>
      <w:spacing w:lineRule="atLeast" w:line="100" w:before="120" w:after="0"/>
      <w:ind w:hanging="357" w:left="720"/>
      <w:jc w:val="both"/>
    </w:pPr>
    <w:rPr>
      <w:rFonts w:ascii="Calibri" w:hAnsi="Calibri" w:eastAsia="Calibri" w:cs="Times New Roman"/>
      <w:sz w:val="20"/>
      <w:szCs w:val="20"/>
      <w:lang w:eastAsia="ar-SA"/>
    </w:rPr>
  </w:style>
  <w:style w:type="paragraph" w:styleId="CommentText">
    <w:name w:val="annotation text"/>
    <w:basedOn w:val="Normal"/>
    <w:link w:val="Style18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9"/>
    <w:uiPriority w:val="99"/>
    <w:semiHidden/>
    <w:unhideWhenUsed/>
    <w:qFormat/>
    <w:pPr/>
    <w:rPr>
      <w:b/>
      <w:bCs/>
    </w:rPr>
  </w:style>
  <w:style w:type="paragraph" w:styleId="NormalWeb">
    <w:name w:val="Normal (Web)"/>
    <w:basedOn w:val="Normal"/>
    <w:link w:val="Style21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Style20"/>
    <w:uiPriority w:val="99"/>
    <w:semiHidden/>
    <w:unhideWhenUsed/>
    <w:pPr>
      <w:spacing w:before="0" w:after="120"/>
      <w:ind w:left="283"/>
    </w:pPr>
    <w:rPr/>
  </w:style>
  <w:style w:type="numbering" w:styleId="Style25" w:default="1">
    <w:name w:val="Без списка"/>
    <w:uiPriority w:val="99"/>
    <w:semiHidden/>
    <w:unhideWhenUsed/>
    <w:qFormat/>
  </w:style>
  <w:style w:type="numbering" w:styleId="user3" w:customStyle="1">
    <w:name w:val="Без списка (user)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5">
    <w:name w:val="Plain Table 1"/>
    <w:basedOn w:val="a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4">
    <w:name w:val="Plain Table 2"/>
    <w:basedOn w:val="a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2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2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2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C0504D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single" w:color="C0504D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9BBB59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BBB59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0" w:space="0"/>
          <w:left w:val="single" w:color="9BBB59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8064A2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single" w:color="8064A2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BACC6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4BACC6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0" w:space="0"/>
          <w:left w:val="single" w:color="4BACC6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79646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79646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0" w:space="0"/>
          <w:left w:val="single" w:color="F79646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0504D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BBB59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8064A2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BACC6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79646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C0504D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9BBB59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8064A2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4BACC6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79646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C0504D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0" w:space="0"/>
          <w:left w:val="single" w:color="C0504D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9BBB59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9BBB59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0" w:space="0"/>
          <w:left w:val="single" w:color="9BBB59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8064A2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0" w:space="0"/>
          <w:left w:val="single" w:color="8064A2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BACC6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4BACC6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0" w:space="0"/>
          <w:left w:val="single" w:color="4BACC6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79646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79646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0" w:space="0"/>
          <w:left w:val="single" w:color="F79646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C0504D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0504D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9BBB59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BBB59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8064A2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8064A2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4BACC6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BACC6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79646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79646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styleId="afff">
    <w:name w:val="Table Grid"/>
    <w:basedOn w:val="a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9AD5D-BB67-4CC0-8D39-9851F768E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LibreOffice/25.2.5.2$Windows_X86_64 LibreOffice_project/03d19516eb2e1dd5d4ccd751a0d6f35f35e08022</Application>
  <AppVersion>15.0000</AppVersion>
  <DocSecurity>4</DocSecurity>
  <Pages>5</Pages>
  <Words>1329</Words>
  <Characters>10041</Characters>
  <CharactersWithSpaces>11332</CharactersWithSpaces>
  <Paragraphs>123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2026-05-15T09:53:00Z</dcterms:created>
  <dc:creator>admin</dc:creator>
  <dc:description/>
  <dc:language>ru-RU</dc:language>
  <cp:lastModifiedBy/>
  <dcterms:modified xsi:type="dcterms:W3CDTF">2026-05-15T14:50:59Z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