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jc w:val="center"/>
        <w:rPr>
          <w:rFonts w:ascii="Calibri" w:hAnsi="Calibri"/>
          <w:color w:val="000000"/>
          <w:sz w:val="22"/>
          <w:szCs w:val="22"/>
        </w:rPr>
      </w:pPr>
      <w:r>
        <w:rPr>
          <w:b/>
          <w:sz w:val="20"/>
          <w:szCs w:val="20"/>
        </w:rPr>
        <w:t>Договор № _____</w:t>
      </w:r>
    </w:p>
    <w:p>
      <w:pPr>
        <w:jc w:val="center"/>
        <w:rPr>
          <w:color w:val="000000"/>
          <w:sz w:val="20"/>
          <w:szCs w:val="20"/>
        </w:rPr>
      </w:pP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передачу неисключительных прав использования базы данных Электронная система «Система Образование»</w:t>
      </w:r>
    </w:p>
    <w:p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</w:p>
    <w:p>
      <w:pPr>
        <w:widowControl w:val="0"/>
        <w:tabs>
          <w:tab w:val="right" w:pos="9781"/>
        </w:tabs>
        <w:spacing w:before="480" w:after="480" w:line="288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г. Санкт</w:t>
      </w:r>
      <w:r>
        <w:rPr>
          <w:rStyle w:val="Normaltext"/>
          <w:b/>
        </w:rPr>
        <w:t>-Петерб</w:t>
      </w:r>
      <w:r>
        <w:rPr>
          <w:b/>
          <w:sz w:val="20"/>
          <w:szCs w:val="20"/>
        </w:rPr>
        <w:t>ург</w:t>
      </w:r>
      <w:r>
        <w:rPr>
          <w:sz w:val="20"/>
          <w:szCs w:val="20"/>
        </w:rPr>
        <w:tab/>
        <w:t xml:space="preserve">     </w:t>
      </w:r>
      <w:r>
        <w:rPr>
          <w:b/>
          <w:sz w:val="20"/>
          <w:szCs w:val="20"/>
        </w:rPr>
        <w:t xml:space="preserve">                                  </w:t>
      </w:r>
      <w:proofErr w:type="gramStart"/>
      <w:r>
        <w:rPr>
          <w:b/>
          <w:sz w:val="20"/>
          <w:szCs w:val="20"/>
        </w:rPr>
        <w:t xml:space="preserve">   «</w:t>
      </w:r>
      <w:proofErr w:type="gramEnd"/>
      <w:r>
        <w:rPr>
          <w:sz w:val="20"/>
          <w:szCs w:val="20"/>
        </w:rPr>
        <w:t>____»  июля  2026 года</w:t>
      </w:r>
    </w:p>
    <w:p>
      <w:pPr>
        <w:jc w:val="both"/>
        <w:rPr>
          <w:rStyle w:val="Normaltext"/>
          <w:szCs w:val="20"/>
        </w:rPr>
      </w:pPr>
      <w:r>
        <w:rPr>
          <w:rStyle w:val="Normaltext"/>
          <w:szCs w:val="20"/>
        </w:rPr>
        <w:t xml:space="preserve">Государственное бюджетное дошкольное образовательное учреждение детский сад № 80 Московского района Санкт-Петербурга, в лице Федоровой Надежды Александровны с одной стороны и _________________________________именуемое в дальнейшем </w:t>
      </w: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>,</w:t>
      </w:r>
      <w:r>
        <w:rPr>
          <w:rStyle w:val="Normaltext"/>
        </w:rPr>
        <w:t xml:space="preserve"> </w:t>
      </w:r>
      <w:r>
        <w:rPr>
          <w:rStyle w:val="Normaltext"/>
          <w:szCs w:val="20"/>
        </w:rPr>
        <w:t xml:space="preserve">в лице __________________________действующего на основании _______________________, </w:t>
      </w:r>
      <w:r>
        <w:rPr>
          <w:rStyle w:val="Normaltext"/>
        </w:rPr>
        <w:t xml:space="preserve">и </w:t>
      </w:r>
      <w:r>
        <w:rPr>
          <w:rStyle w:val="Normaltext"/>
          <w:szCs w:val="20"/>
        </w:rPr>
        <w:t>именуемый в дальнейшем Сублицензиат, с другой стороны, вместе именуемые Стороны, заключили настоящий Договор, о нижеследующем:</w:t>
      </w:r>
    </w:p>
    <w:p>
      <w:pPr>
        <w:pStyle w:val="ParagraphStyle"/>
        <w:keepNext/>
        <w:numPr>
          <w:ilvl w:val="0"/>
          <w:numId w:val="1"/>
        </w:numPr>
        <w:spacing w:before="360" w:after="240"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>
        <w:rPr>
          <w:rStyle w:val="Heading"/>
          <w:bCs/>
          <w:szCs w:val="20"/>
        </w:rPr>
        <w:t>ПРЕДМЕТ ДОГОВОРА</w:t>
      </w:r>
    </w:p>
    <w:p>
      <w:pPr>
        <w:pStyle w:val="ParagraphStyle"/>
        <w:keepLines/>
        <w:numPr>
          <w:ilvl w:val="1"/>
          <w:numId w:val="1"/>
        </w:numPr>
        <w:spacing w:after="60" w:line="276" w:lineRule="auto"/>
        <w:jc w:val="both"/>
        <w:outlineLvl w:val="2"/>
        <w:rPr>
          <w:rStyle w:val="Normaltext"/>
          <w:szCs w:val="20"/>
        </w:rPr>
      </w:pPr>
      <w:bookmarkStart w:id="0" w:name="_Toc510612354"/>
      <w:bookmarkEnd w:id="0"/>
      <w:r>
        <w:rPr>
          <w:rStyle w:val="Normaltext"/>
          <w:szCs w:val="20"/>
        </w:rPr>
        <w:t xml:space="preserve">Сублицензиат обязуется предоставить </w:t>
      </w:r>
      <w:proofErr w:type="spellStart"/>
      <w:r>
        <w:rPr>
          <w:rStyle w:val="Normaltext"/>
          <w:szCs w:val="20"/>
        </w:rPr>
        <w:t>Субсублицензиату</w:t>
      </w:r>
      <w:proofErr w:type="spellEnd"/>
      <w:r>
        <w:rPr>
          <w:bCs/>
        </w:rPr>
        <w:t xml:space="preserve"> </w:t>
      </w:r>
      <w:r>
        <w:rPr>
          <w:rStyle w:val="Normaltext"/>
          <w:szCs w:val="20"/>
        </w:rPr>
        <w:t>за вознаграждение неисключительные права (простая неисключительная лицензия) использования базы данных Электронная система «</w:t>
      </w:r>
      <w:r>
        <w:rPr>
          <w:sz w:val="20"/>
          <w:szCs w:val="20"/>
        </w:rPr>
        <w:t xml:space="preserve">Образование» </w:t>
      </w:r>
      <w:r>
        <w:rPr>
          <w:rStyle w:val="Normaltext"/>
          <w:szCs w:val="20"/>
        </w:rPr>
        <w:t xml:space="preserve">расположенной по адресу  </w:t>
      </w:r>
      <w:hyperlink r:id="rId6" w:history="1">
        <w:r>
          <w:rPr>
            <w:rStyle w:val="Normaltext"/>
            <w:szCs w:val="20"/>
          </w:rPr>
          <w:t>https://vip.1obraz.ru/</w:t>
        </w:r>
      </w:hyperlink>
      <w:r>
        <w:rPr>
          <w:rStyle w:val="Normaltext"/>
          <w:szCs w:val="20"/>
        </w:rPr>
        <w:t xml:space="preserve">, в объеме, указанном в «Спецификации на БД» (Приложение № 1 к Договору), на условиях, предусмотренных в настоящем Договоре. </w:t>
      </w:r>
    </w:p>
    <w:p>
      <w:pPr>
        <w:pStyle w:val="ParagraphStyle"/>
        <w:keepLines/>
        <w:numPr>
          <w:ilvl w:val="1"/>
          <w:numId w:val="1"/>
        </w:numPr>
        <w:spacing w:after="60" w:line="276" w:lineRule="auto"/>
        <w:jc w:val="both"/>
        <w:outlineLvl w:val="2"/>
        <w:rPr>
          <w:rStyle w:val="Normaltext"/>
          <w:szCs w:val="20"/>
        </w:rPr>
      </w:pPr>
      <w:r>
        <w:rPr>
          <w:rStyle w:val="Normaltext"/>
          <w:szCs w:val="20"/>
        </w:rPr>
        <w:t xml:space="preserve">Под Базой данных (далее-БД) в настоящем Договоре понимается многофункциональная справочно-экспертная система, предназначенная для предоставления подробной информации в сфере отдельной отрасли права, указанной в «Спецификации на БД», доступ к которой осуществляется через телекоммуникационную сеть общего пользования -Интернет. </w:t>
      </w:r>
    </w:p>
    <w:p>
      <w:pPr>
        <w:pStyle w:val="ParagraphStyle"/>
        <w:keepLines/>
        <w:numPr>
          <w:ilvl w:val="1"/>
          <w:numId w:val="1"/>
        </w:numPr>
        <w:spacing w:after="60" w:line="276" w:lineRule="auto"/>
        <w:jc w:val="both"/>
        <w:outlineLvl w:val="2"/>
        <w:rPr>
          <w:rStyle w:val="Normaltext"/>
          <w:szCs w:val="20"/>
        </w:rPr>
      </w:pP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 xml:space="preserve"> приобретает неисключительные права использования БД в соответствии с его функциональными возможностями, а именно, </w:t>
      </w: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 xml:space="preserve"> имеет право использовать БД исключительно для своей внутренней деятельности, включая следующие способы:</w:t>
      </w:r>
    </w:p>
    <w:p>
      <w:pPr>
        <w:pStyle w:val="ParagraphStyle"/>
        <w:numPr>
          <w:ilvl w:val="2"/>
          <w:numId w:val="1"/>
        </w:numPr>
        <w:spacing w:line="276" w:lineRule="auto"/>
        <w:ind w:left="567"/>
        <w:jc w:val="both"/>
        <w:rPr>
          <w:rStyle w:val="Normaltext"/>
          <w:szCs w:val="20"/>
        </w:rPr>
      </w:pPr>
      <w:r>
        <w:rPr>
          <w:sz w:val="20"/>
          <w:szCs w:val="20"/>
        </w:rPr>
        <w:t>Подключаться к БД через сеть Интернет, при этом количество пользователей, не должно превышать количества лицензий, указанных в Спецификации на БД.</w:t>
      </w:r>
    </w:p>
    <w:p>
      <w:pPr>
        <w:pStyle w:val="ParagraphStyle"/>
        <w:numPr>
          <w:ilvl w:val="2"/>
          <w:numId w:val="1"/>
        </w:numPr>
        <w:spacing w:line="276" w:lineRule="auto"/>
        <w:ind w:left="567"/>
        <w:jc w:val="both"/>
        <w:rPr>
          <w:rStyle w:val="Normaltext"/>
          <w:szCs w:val="20"/>
        </w:rPr>
      </w:pPr>
      <w:r>
        <w:rPr>
          <w:rStyle w:val="Normaltext"/>
          <w:szCs w:val="20"/>
        </w:rPr>
        <w:t xml:space="preserve">Использовать для собственных нужд материалы и информацию, содержащуюся в БД без получения дополнительного согласия Сублицензиата либо третьих лиц. Право доступа к БД предоставляется </w:t>
      </w:r>
      <w:proofErr w:type="spellStart"/>
      <w:r>
        <w:rPr>
          <w:rStyle w:val="Normaltext"/>
          <w:szCs w:val="20"/>
        </w:rPr>
        <w:t>Субсублицензиату</w:t>
      </w:r>
      <w:proofErr w:type="spellEnd"/>
      <w:r>
        <w:rPr>
          <w:rStyle w:val="Normaltext"/>
          <w:szCs w:val="20"/>
        </w:rPr>
        <w:t xml:space="preserve"> круглосуточно на все время действия лицензии. </w:t>
      </w:r>
    </w:p>
    <w:p>
      <w:pPr>
        <w:pStyle w:val="ParagraphStyle"/>
        <w:keepNext/>
        <w:numPr>
          <w:ilvl w:val="1"/>
          <w:numId w:val="1"/>
        </w:numPr>
        <w:tabs>
          <w:tab w:val="num" w:pos="567"/>
        </w:tabs>
        <w:ind w:left="567"/>
        <w:jc w:val="both"/>
        <w:outlineLvl w:val="1"/>
        <w:rPr>
          <w:rStyle w:val="Normaltext"/>
          <w:szCs w:val="20"/>
        </w:rPr>
      </w:pPr>
      <w:r>
        <w:rPr>
          <w:rStyle w:val="Normaltext"/>
          <w:szCs w:val="20"/>
        </w:rPr>
        <w:t xml:space="preserve">Неисключительные права использования БД предоставляются </w:t>
      </w:r>
      <w:proofErr w:type="spellStart"/>
      <w:r>
        <w:rPr>
          <w:rStyle w:val="Normaltext"/>
          <w:szCs w:val="20"/>
        </w:rPr>
        <w:t>Субсублицензиату</w:t>
      </w:r>
      <w:proofErr w:type="spellEnd"/>
      <w:r>
        <w:rPr>
          <w:rStyle w:val="Normaltext"/>
          <w:szCs w:val="20"/>
        </w:rPr>
        <w:t xml:space="preserve"> с момента направления последнему по электронной почте кода доступа к БД и на срок, указанный в «Спецификации на БД» (Приложение №1 к Договору).</w:t>
      </w:r>
    </w:p>
    <w:p>
      <w:pPr>
        <w:pStyle w:val="ParagraphStyle"/>
        <w:keepLines/>
        <w:numPr>
          <w:ilvl w:val="1"/>
          <w:numId w:val="1"/>
        </w:numPr>
        <w:tabs>
          <w:tab w:val="num" w:pos="567"/>
        </w:tabs>
        <w:spacing w:after="60"/>
        <w:ind w:left="567"/>
        <w:jc w:val="both"/>
        <w:outlineLvl w:val="2"/>
        <w:rPr>
          <w:rStyle w:val="Normaltext"/>
          <w:szCs w:val="20"/>
        </w:rPr>
      </w:pP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 xml:space="preserve"> не приобретает каких-либо прав на БД, за исключением оговоренных в настоящем Договоре.</w:t>
      </w:r>
    </w:p>
    <w:p>
      <w:pPr>
        <w:pStyle w:val="HTML"/>
        <w:numPr>
          <w:ilvl w:val="1"/>
          <w:numId w:val="1"/>
        </w:numPr>
        <w:jc w:val="both"/>
        <w:rPr>
          <w:rStyle w:val="Normaltext"/>
          <w:rFonts w:ascii="Times New Roman" w:hAnsi="Times New Roman" w:cs="Times New Roman"/>
        </w:rPr>
      </w:pPr>
      <w:proofErr w:type="spellStart"/>
      <w:r>
        <w:rPr>
          <w:rStyle w:val="Normaltext"/>
          <w:rFonts w:ascii="Times New Roman" w:hAnsi="Times New Roman" w:cs="Times New Roman"/>
        </w:rPr>
        <w:t>Субсублицензиат</w:t>
      </w:r>
      <w:proofErr w:type="spellEnd"/>
      <w:r>
        <w:rPr>
          <w:rStyle w:val="Normaltext"/>
          <w:rFonts w:ascii="Times New Roman" w:hAnsi="Times New Roman" w:cs="Times New Roman"/>
        </w:rPr>
        <w:t xml:space="preserve"> не имеет права частично или полностью публиковать и/или передавать третьим лицам любые материалы БД, включая материалы (ответы, разъяснения и прочее), полученные при использовании сервиса «Экспертная поддержка».</w:t>
      </w:r>
    </w:p>
    <w:p>
      <w:pPr>
        <w:pStyle w:val="ParagraphStyle"/>
        <w:keepLines/>
        <w:numPr>
          <w:ilvl w:val="1"/>
          <w:numId w:val="1"/>
        </w:numPr>
        <w:tabs>
          <w:tab w:val="num" w:pos="567"/>
        </w:tabs>
        <w:spacing w:after="60"/>
        <w:ind w:left="567"/>
        <w:jc w:val="both"/>
        <w:outlineLvl w:val="2"/>
        <w:rPr>
          <w:rStyle w:val="Normaltext"/>
          <w:szCs w:val="20"/>
        </w:rPr>
      </w:pP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 xml:space="preserve"> обязуется принять и оплатить права использования БД в соответствии с условиями настоящего Договора. </w:t>
      </w:r>
    </w:p>
    <w:p>
      <w:pPr>
        <w:pStyle w:val="a7"/>
        <w:numPr>
          <w:ilvl w:val="1"/>
          <w:numId w:val="1"/>
        </w:numPr>
        <w:tabs>
          <w:tab w:val="left" w:pos="709"/>
        </w:tabs>
        <w:jc w:val="both"/>
      </w:pPr>
      <w:r>
        <w:rPr>
          <w:rStyle w:val="Normaltext"/>
          <w:szCs w:val="20"/>
        </w:rPr>
        <w:t xml:space="preserve">Сублицензиат </w:t>
      </w:r>
      <w:r>
        <w:rPr>
          <w:bCs/>
          <w:iCs/>
          <w:sz w:val="20"/>
          <w:szCs w:val="20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20"/>
          <w:szCs w:val="20"/>
        </w:rPr>
        <w:t xml:space="preserve"> при условии соблюдения </w:t>
      </w:r>
      <w:proofErr w:type="spellStart"/>
      <w:r>
        <w:rPr>
          <w:rStyle w:val="Normaltext"/>
          <w:szCs w:val="20"/>
        </w:rPr>
        <w:t>Субсублицензиатом</w:t>
      </w:r>
      <w:proofErr w:type="spellEnd"/>
      <w:r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>
      <w:pPr>
        <w:pStyle w:val="a7"/>
        <w:numPr>
          <w:ilvl w:val="1"/>
          <w:numId w:val="1"/>
        </w:numPr>
        <w:tabs>
          <w:tab w:val="left" w:pos="709"/>
        </w:tabs>
        <w:jc w:val="both"/>
      </w:pPr>
      <w:r>
        <w:rPr>
          <w:rStyle w:val="Normaltext"/>
          <w:szCs w:val="20"/>
        </w:rPr>
        <w:t xml:space="preserve">Сублицензиат </w:t>
      </w:r>
      <w:r>
        <w:rPr>
          <w:bCs/>
          <w:iCs/>
          <w:sz w:val="20"/>
          <w:szCs w:val="20"/>
        </w:rPr>
        <w:t>гарантирует возможность использования БД в течение срока действия лицензий, указанного в «Спецификации на БД»</w:t>
      </w:r>
      <w:r>
        <w:rPr>
          <w:sz w:val="20"/>
          <w:szCs w:val="20"/>
        </w:rPr>
        <w:t xml:space="preserve"> при условии соблюдения </w:t>
      </w:r>
      <w:proofErr w:type="spellStart"/>
      <w:r>
        <w:rPr>
          <w:rStyle w:val="Normaltext"/>
          <w:szCs w:val="20"/>
        </w:rPr>
        <w:t>Субсублицензиатом</w:t>
      </w:r>
      <w:proofErr w:type="spellEnd"/>
      <w:r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которые размещены на сайте БД в разделе «Технические требования».</w:t>
      </w:r>
    </w:p>
    <w:p/>
    <w:p>
      <w:pPr>
        <w:pStyle w:val="2"/>
        <w:jc w:val="center"/>
        <w:rPr>
          <w:sz w:val="20"/>
          <w:szCs w:val="20"/>
        </w:rPr>
      </w:pPr>
      <w:r>
        <w:rPr>
          <w:sz w:val="20"/>
          <w:szCs w:val="20"/>
        </w:rPr>
        <w:t>ПОРЯДОК ПЕРЕДАЧИ ПРАВА ДОСТУПА И ИСПОЛЬЗОВАНИЯ БД</w:t>
      </w:r>
    </w:p>
    <w:p/>
    <w:p>
      <w:pPr>
        <w:pStyle w:val="a7"/>
        <w:numPr>
          <w:ilvl w:val="1"/>
          <w:numId w:val="13"/>
        </w:numPr>
        <w:tabs>
          <w:tab w:val="left" w:pos="0"/>
        </w:tabs>
        <w:spacing w:after="60"/>
        <w:ind w:right="-57"/>
        <w:jc w:val="both"/>
        <w:outlineLvl w:val="0"/>
        <w:rPr>
          <w:sz w:val="20"/>
          <w:szCs w:val="20"/>
        </w:rPr>
      </w:pPr>
      <w:r>
        <w:rPr>
          <w:sz w:val="20"/>
          <w:szCs w:val="20"/>
        </w:rPr>
        <w:t xml:space="preserve">Сублицензиат в течение </w:t>
      </w:r>
      <w:r>
        <w:rPr>
          <w:rStyle w:val="Normaltext"/>
          <w:color w:val="000000"/>
          <w:szCs w:val="20"/>
        </w:rPr>
        <w:t>3 (Трех)</w:t>
      </w:r>
      <w:r>
        <w:rPr>
          <w:rStyle w:val="Normaltext"/>
          <w:szCs w:val="20"/>
        </w:rPr>
        <w:t xml:space="preserve"> рабочих дней после </w:t>
      </w:r>
      <w:r>
        <w:rPr>
          <w:sz w:val="20"/>
          <w:szCs w:val="20"/>
        </w:rPr>
        <w:t xml:space="preserve">заключения договора, направляет </w:t>
      </w:r>
      <w:proofErr w:type="spellStart"/>
      <w:r>
        <w:rPr>
          <w:color w:val="000000"/>
          <w:sz w:val="20"/>
          <w:szCs w:val="20"/>
        </w:rPr>
        <w:t>субсублицензиату</w:t>
      </w:r>
      <w:proofErr w:type="spellEnd"/>
      <w:r>
        <w:rPr>
          <w:color w:val="000000"/>
          <w:sz w:val="20"/>
          <w:szCs w:val="20"/>
        </w:rPr>
        <w:t xml:space="preserve"> по адресу его электронной почты, указанному при регистрации, уникальный код доступа для предоставления права доступа к БД.</w:t>
      </w:r>
    </w:p>
    <w:p>
      <w:pPr>
        <w:pStyle w:val="2"/>
        <w:numPr>
          <w:ilvl w:val="1"/>
          <w:numId w:val="13"/>
        </w:numPr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t xml:space="preserve">Сублицензиат в течение 14 (Четырнадцати) рабочих дней после отправки электронного письма направляет </w:t>
      </w:r>
      <w:proofErr w:type="spellStart"/>
      <w:r>
        <w:rPr>
          <w:b w:val="0"/>
          <w:color w:val="auto"/>
          <w:sz w:val="20"/>
          <w:szCs w:val="20"/>
        </w:rPr>
        <w:t>Субсублицензиату</w:t>
      </w:r>
      <w:proofErr w:type="spellEnd"/>
      <w:r>
        <w:rPr>
          <w:b w:val="0"/>
          <w:color w:val="auto"/>
          <w:sz w:val="20"/>
          <w:szCs w:val="20"/>
        </w:rPr>
        <w:t xml:space="preserve"> дополнительно по почте по адресу </w:t>
      </w:r>
      <w:proofErr w:type="spellStart"/>
      <w:r>
        <w:rPr>
          <w:b w:val="0"/>
          <w:color w:val="auto"/>
          <w:sz w:val="20"/>
          <w:szCs w:val="20"/>
        </w:rPr>
        <w:t>Субсублицензиата</w:t>
      </w:r>
      <w:proofErr w:type="spellEnd"/>
      <w:r>
        <w:rPr>
          <w:b w:val="0"/>
          <w:color w:val="auto"/>
          <w:sz w:val="20"/>
          <w:szCs w:val="20"/>
        </w:rPr>
        <w:t>, указанному в разделе 8 Договора, подписанный Сублицензиатом Акт передачи прав использования БД.</w:t>
      </w:r>
    </w:p>
    <w:p>
      <w:pPr>
        <w:pStyle w:val="2"/>
        <w:numPr>
          <w:ilvl w:val="1"/>
          <w:numId w:val="13"/>
        </w:numPr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t xml:space="preserve"> </w:t>
      </w:r>
      <w:proofErr w:type="spellStart"/>
      <w:r>
        <w:rPr>
          <w:b w:val="0"/>
          <w:color w:val="auto"/>
          <w:sz w:val="20"/>
          <w:szCs w:val="20"/>
        </w:rPr>
        <w:t>Субсублицензиат</w:t>
      </w:r>
      <w:proofErr w:type="spellEnd"/>
      <w:r>
        <w:rPr>
          <w:b w:val="0"/>
          <w:color w:val="auto"/>
          <w:sz w:val="20"/>
          <w:szCs w:val="20"/>
        </w:rPr>
        <w:t xml:space="preserve"> в течение 5 (Пяти) рабочих дней после получения Акта передачи прав использования БД обязан подписать его со своей стороны и передать его Сублицензиату. В случае если в указанный срок </w:t>
      </w:r>
      <w:proofErr w:type="spellStart"/>
      <w:r>
        <w:rPr>
          <w:b w:val="0"/>
          <w:color w:val="auto"/>
          <w:sz w:val="20"/>
          <w:szCs w:val="20"/>
        </w:rPr>
        <w:t>Субсублицензиат</w:t>
      </w:r>
      <w:proofErr w:type="spellEnd"/>
      <w:r>
        <w:rPr>
          <w:b w:val="0"/>
          <w:color w:val="auto"/>
          <w:sz w:val="20"/>
          <w:szCs w:val="20"/>
        </w:rPr>
        <w:t xml:space="preserve"> не направит Сублицензиату подписанный со своей стороны Акт или мотивированный отказ от его подписания, права считаются переданными, а Акт подписанным </w:t>
      </w:r>
      <w:proofErr w:type="spellStart"/>
      <w:r>
        <w:rPr>
          <w:b w:val="0"/>
          <w:color w:val="auto"/>
          <w:sz w:val="20"/>
          <w:szCs w:val="20"/>
        </w:rPr>
        <w:t>Субсублицензиатом</w:t>
      </w:r>
      <w:proofErr w:type="spellEnd"/>
      <w:r>
        <w:rPr>
          <w:b w:val="0"/>
          <w:color w:val="auto"/>
          <w:sz w:val="20"/>
          <w:szCs w:val="20"/>
        </w:rPr>
        <w:t>.</w:t>
      </w:r>
    </w:p>
    <w:p>
      <w:pPr>
        <w:rPr>
          <w:sz w:val="20"/>
          <w:szCs w:val="20"/>
        </w:rPr>
      </w:pPr>
    </w:p>
    <w:p>
      <w:pPr>
        <w:spacing w:after="60"/>
        <w:ind w:left="437"/>
        <w:jc w:val="both"/>
        <w:rPr>
          <w:bCs/>
          <w:sz w:val="20"/>
          <w:szCs w:val="20"/>
        </w:rPr>
      </w:pPr>
    </w:p>
    <w:p>
      <w:pPr>
        <w:spacing w:after="60"/>
        <w:ind w:left="437"/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</w:t>
      </w:r>
    </w:p>
    <w:p>
      <w:pPr>
        <w:pStyle w:val="2"/>
        <w:jc w:val="center"/>
        <w:rPr>
          <w:sz w:val="20"/>
          <w:szCs w:val="20"/>
        </w:rPr>
      </w:pPr>
      <w:bookmarkStart w:id="1" w:name="_Toc510612356"/>
      <w:r>
        <w:rPr>
          <w:sz w:val="20"/>
          <w:szCs w:val="20"/>
        </w:rPr>
        <w:lastRenderedPageBreak/>
        <w:t>ЦЕНА ДОГОВОРА И ПОРЯДОК ОПЛАТЫ</w:t>
      </w:r>
      <w:bookmarkEnd w:id="1"/>
    </w:p>
    <w:p>
      <w:pPr>
        <w:pStyle w:val="a3"/>
        <w:numPr>
          <w:ilvl w:val="1"/>
          <w:numId w:val="1"/>
        </w:numPr>
        <w:spacing w:after="60" w:afterAutospacing="0"/>
      </w:pPr>
      <w:bookmarkStart w:id="2" w:name="_Ref189296392"/>
      <w:r>
        <w:t>Цена Договора (вознаграждение за право использования БД) указана в «Спецификации на БД» (Приложение 1) и составляет ______________________рублей 00 копеек.</w:t>
      </w:r>
      <w:r>
        <w:rPr>
          <w:color w:val="000000"/>
        </w:rPr>
        <w:t xml:space="preserve"> </w:t>
      </w:r>
      <w:r>
        <w:t>Указанная сумма НДС не облагается на основании подпункта 26 пункта 2 статьи 149 НК РФ.</w:t>
      </w:r>
      <w:bookmarkEnd w:id="2"/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Цена Договора является твердой и определена на весь срок исполнения Договора.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  <w:rPr>
          <w:rStyle w:val="Normaltext"/>
        </w:rPr>
      </w:pPr>
      <w:r>
        <w:rPr>
          <w:rStyle w:val="Normaltext"/>
        </w:rPr>
        <w:t xml:space="preserve">Оплата производится на основании выставленного Сублицензиатом счета, путем </w:t>
      </w:r>
      <w:proofErr w:type="gramStart"/>
      <w:r>
        <w:rPr>
          <w:rStyle w:val="Normaltext"/>
        </w:rPr>
        <w:t xml:space="preserve">перечисления  </w:t>
      </w:r>
      <w:proofErr w:type="spellStart"/>
      <w:r>
        <w:rPr>
          <w:rStyle w:val="Normaltext"/>
        </w:rPr>
        <w:t>Субсублицензиатом</w:t>
      </w:r>
      <w:proofErr w:type="spellEnd"/>
      <w:proofErr w:type="gramEnd"/>
      <w:r>
        <w:rPr>
          <w:rStyle w:val="Normaltext"/>
        </w:rPr>
        <w:t xml:space="preserve"> на счет Сублицензиата суммы согласно Спецификации до 01.09.2026г.    </w:t>
      </w:r>
    </w:p>
    <w:p>
      <w:pPr>
        <w:pStyle w:val="HTML"/>
        <w:tabs>
          <w:tab w:val="num" w:pos="567"/>
        </w:tabs>
        <w:jc w:val="both"/>
        <w:rPr>
          <w:rStyle w:val="Normaltext"/>
        </w:rPr>
      </w:pPr>
    </w:p>
    <w:p>
      <w:pPr>
        <w:pStyle w:val="2"/>
        <w:jc w:val="center"/>
        <w:rPr>
          <w:sz w:val="20"/>
          <w:szCs w:val="20"/>
        </w:rPr>
      </w:pPr>
      <w:r>
        <w:rPr>
          <w:sz w:val="20"/>
          <w:szCs w:val="20"/>
        </w:rPr>
        <w:t>ЗАЩИТА В СЛУЧАЕ НАРУШЕНИЙ ИНТЕЛЛЕКТУАЛЬНЫХ ПРАВ ТРЕТЬИХ ЛИЦ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Сублицензиат будет защищать интересы </w:t>
      </w:r>
      <w:proofErr w:type="spellStart"/>
      <w:r>
        <w:t>Субсублицензиата</w:t>
      </w:r>
      <w:proofErr w:type="spellEnd"/>
      <w:r>
        <w:t xml:space="preserve"> в случае предъявления к нему третьим лицом претензии о том, что использование им БД нарушает интеллектуальные права данных лиц. 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В случае предъявления претензии </w:t>
      </w:r>
      <w:proofErr w:type="spellStart"/>
      <w:r>
        <w:t>Субсублицензиат</w:t>
      </w:r>
      <w:proofErr w:type="spellEnd"/>
      <w:r>
        <w:t xml:space="preserve"> должен незамедлительно письменно уведомить об этом Сублицензиата. 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Обязательства Сублицензиата не распространяются на случаи нарушения </w:t>
      </w:r>
      <w:proofErr w:type="spellStart"/>
      <w:r>
        <w:t>Субсублицензиатом</w:t>
      </w:r>
      <w:proofErr w:type="spellEnd"/>
      <w:r>
        <w:t xml:space="preserve"> условий использования БД, предусмотренных настоящим Договором и действующим законодательством.</w:t>
      </w:r>
    </w:p>
    <w:p>
      <w:pPr>
        <w:pStyle w:val="a3"/>
        <w:spacing w:after="60" w:afterAutospacing="0"/>
        <w:ind w:left="539"/>
      </w:pPr>
    </w:p>
    <w:p>
      <w:pPr>
        <w:pStyle w:val="2"/>
        <w:jc w:val="center"/>
        <w:rPr>
          <w:sz w:val="20"/>
          <w:szCs w:val="20"/>
        </w:rPr>
      </w:pPr>
      <w:bookmarkStart w:id="3" w:name="_Toc510612359"/>
      <w:r>
        <w:rPr>
          <w:sz w:val="20"/>
          <w:szCs w:val="20"/>
        </w:rPr>
        <w:t xml:space="preserve">ОТВЕТСТВЕННОСТЬ СТОРОН </w:t>
      </w:r>
      <w:bookmarkEnd w:id="3"/>
      <w:r>
        <w:rPr>
          <w:sz w:val="20"/>
          <w:szCs w:val="20"/>
        </w:rPr>
        <w:t>И ПОРЯДОК РАССМОТРЕНИЯ СПОРОВ</w:t>
      </w:r>
    </w:p>
    <w:p/>
    <w:p>
      <w:pPr>
        <w:pStyle w:val="a3"/>
        <w:numPr>
          <w:ilvl w:val="1"/>
          <w:numId w:val="13"/>
        </w:numPr>
        <w:spacing w:after="60" w:afterAutospacing="0"/>
        <w:ind w:left="426" w:hanging="426"/>
      </w:pPr>
      <w:r>
        <w:t xml:space="preserve">За неисполнение или ненадлежащее исполнение обязательств по настоящему Договору Стороны несут   ответственность в соответствии с условиями Договору и действующим законодательством РФ. 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 w:hanging="567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5.2. В случае просрочки исполнения </w:t>
      </w:r>
      <w:proofErr w:type="spellStart"/>
      <w:r>
        <w:rPr>
          <w:b w:val="0"/>
          <w:color w:val="auto"/>
          <w:sz w:val="20"/>
          <w:szCs w:val="20"/>
        </w:rPr>
        <w:t>Субсублицензиатом</w:t>
      </w:r>
      <w:proofErr w:type="spellEnd"/>
      <w:r>
        <w:rPr>
          <w:b w:val="0"/>
          <w:sz w:val="20"/>
          <w:szCs w:val="20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proofErr w:type="spellStart"/>
      <w:r>
        <w:rPr>
          <w:b w:val="0"/>
          <w:color w:val="auto"/>
          <w:sz w:val="20"/>
          <w:szCs w:val="20"/>
        </w:rPr>
        <w:t>Субсублицензиатом</w:t>
      </w:r>
      <w:proofErr w:type="spellEnd"/>
      <w:r>
        <w:rPr>
          <w:b w:val="0"/>
          <w:sz w:val="20"/>
          <w:szCs w:val="20"/>
        </w:rPr>
        <w:t xml:space="preserve"> обязательств, предусмотренных Договором, Сублицензиат вправе потребовать уплаты неустоек (штрафов, пеней).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 w:hanging="567"/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5.2.1</w:t>
      </w:r>
      <w:r>
        <w:rPr>
          <w:b w:val="0"/>
          <w:sz w:val="20"/>
          <w:szCs w:val="20"/>
        </w:rPr>
        <w:t xml:space="preserve">. В случае просрочки исполнения </w:t>
      </w:r>
      <w:proofErr w:type="spellStart"/>
      <w:r>
        <w:rPr>
          <w:b w:val="0"/>
          <w:color w:val="auto"/>
          <w:sz w:val="20"/>
          <w:szCs w:val="20"/>
        </w:rPr>
        <w:t>Субсублицензиатом</w:t>
      </w:r>
      <w:proofErr w:type="spellEnd"/>
      <w:r>
        <w:rPr>
          <w:b w:val="0"/>
          <w:color w:val="auto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>обязательств, предусмотренных п. 3.3 Договора, Сублицензиат вправе потребовать уплаты пеней.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Пеня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Такая пеня устанавливается Договором в размере 1/300 (одной трехсотой) действующей на дату уплаты пеней ставки рефинансирования Центрального банка Российской Федерации от не уплаченной в срок суммы.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426" w:hanging="426"/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5.2.2</w:t>
      </w:r>
      <w:r>
        <w:rPr>
          <w:b w:val="0"/>
          <w:sz w:val="20"/>
          <w:szCs w:val="20"/>
        </w:rPr>
        <w:t xml:space="preserve">. За каждый факт неисполнения </w:t>
      </w:r>
      <w:proofErr w:type="spellStart"/>
      <w:r>
        <w:rPr>
          <w:b w:val="0"/>
          <w:sz w:val="20"/>
          <w:szCs w:val="20"/>
        </w:rPr>
        <w:t>Субсублицензиатом</w:t>
      </w:r>
      <w:proofErr w:type="spellEnd"/>
      <w:r>
        <w:rPr>
          <w:b w:val="0"/>
          <w:sz w:val="20"/>
          <w:szCs w:val="20"/>
        </w:rPr>
        <w:t xml:space="preserve"> обязательств, предусмотренных Договором, за исключением просрочки исполнения обязательств, предусмотренных Договором, начисляется штраф в размере 1000 (одна тысяча) рублей.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 w:hanging="567"/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5.3.</w:t>
      </w:r>
      <w:r>
        <w:rPr>
          <w:b w:val="0"/>
          <w:sz w:val="20"/>
          <w:szCs w:val="20"/>
        </w:rPr>
        <w:t xml:space="preserve"> В случае просрочки исполнения Сублицензиатом обязательств (в том числе гарантийного обязательства), предусмотренных Договором, а также в иных случаях неисполнения или ненадлежащего исполнения Сублицензиатом обязательств, предусмотренных Договором, </w:t>
      </w:r>
      <w:proofErr w:type="spellStart"/>
      <w:r>
        <w:rPr>
          <w:b w:val="0"/>
          <w:color w:val="auto"/>
          <w:sz w:val="20"/>
          <w:szCs w:val="20"/>
        </w:rPr>
        <w:t>Субсублицензиат</w:t>
      </w:r>
      <w:proofErr w:type="spellEnd"/>
      <w:r>
        <w:rPr>
          <w:b w:val="0"/>
          <w:sz w:val="20"/>
          <w:szCs w:val="20"/>
        </w:rPr>
        <w:t xml:space="preserve"> направляет Сублицензиату требование об уплате неустоек (штрафов, пеней).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 w:hanging="567"/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5.3.1</w:t>
      </w:r>
      <w:r>
        <w:rPr>
          <w:b w:val="0"/>
          <w:sz w:val="20"/>
          <w:szCs w:val="20"/>
        </w:rPr>
        <w:t xml:space="preserve">. Пеня начисляется за каждый день просрочки исполнения Сублицензиатом обязательства, предусмотренного Договором, начиная со дня, следующего после дня истечения установленного Договором срока исполнения обязательства, и устанавливается Договором в размере 1/300 (одной трехсотой)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Сублицензиатом. </w:t>
      </w:r>
    </w:p>
    <w:p>
      <w:pPr>
        <w:pStyle w:val="2"/>
        <w:numPr>
          <w:ilvl w:val="0"/>
          <w:numId w:val="0"/>
        </w:numPr>
        <w:tabs>
          <w:tab w:val="left" w:pos="708"/>
        </w:tabs>
        <w:ind w:left="567" w:hanging="567"/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5.3.2</w:t>
      </w:r>
      <w:r>
        <w:rPr>
          <w:b w:val="0"/>
          <w:sz w:val="20"/>
          <w:szCs w:val="20"/>
        </w:rPr>
        <w:t>. Штраф в размере 10 % (десяти процентов) от цены Договора начисляется за каждый факт неисполнения или ненадлежащего исполнения Сублицензиатом обязательств, предусмотренных Договором, за исключением просрочки исполнения Сублицензиатом обязательств (в том числе гарантийного обязательства), предусмотренных Договором.</w:t>
      </w:r>
    </w:p>
    <w:p>
      <w:pPr>
        <w:pStyle w:val="2"/>
        <w:numPr>
          <w:ilvl w:val="0"/>
          <w:numId w:val="0"/>
        </w:numPr>
        <w:tabs>
          <w:tab w:val="left" w:pos="708"/>
        </w:tabs>
        <w:rPr>
          <w:b w:val="0"/>
          <w:sz w:val="20"/>
          <w:szCs w:val="20"/>
        </w:rPr>
      </w:pPr>
      <w:r>
        <w:rPr>
          <w:b w:val="0"/>
          <w:sz w:val="22"/>
          <w:szCs w:val="22"/>
        </w:rPr>
        <w:t>5.4</w:t>
      </w:r>
      <w:r>
        <w:rPr>
          <w:b w:val="0"/>
          <w:sz w:val="20"/>
          <w:szCs w:val="20"/>
        </w:rPr>
        <w:t>.   Уплата Стороной неустойки (штрафа, пеней) не освобождает её от исполнения обязательств по Договору.</w:t>
      </w:r>
    </w:p>
    <w:p>
      <w:pPr>
        <w:pStyle w:val="a3"/>
        <w:numPr>
          <w:ilvl w:val="1"/>
          <w:numId w:val="12"/>
        </w:numPr>
        <w:spacing w:after="60" w:afterAutospacing="0"/>
      </w:pPr>
      <w:r>
        <w:t xml:space="preserve">При возникновении споров по настоящему Договору обязательным является предъявление претензии, срок рассмотрения которой устанавливается в </w:t>
      </w:r>
      <w:r>
        <w:rPr>
          <w:color w:val="000000"/>
        </w:rPr>
        <w:t xml:space="preserve">7 (Семь) рабочих </w:t>
      </w:r>
      <w:r>
        <w:t>дней с даты ее вручения другой Стороне.</w:t>
      </w:r>
    </w:p>
    <w:p>
      <w:pPr>
        <w:pStyle w:val="2"/>
        <w:numPr>
          <w:ilvl w:val="1"/>
          <w:numId w:val="13"/>
        </w:numPr>
        <w:spacing w:after="60"/>
        <w:ind w:left="426" w:hanging="426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>
      <w:pPr>
        <w:pStyle w:val="a3"/>
        <w:widowControl w:val="0"/>
        <w:numPr>
          <w:ilvl w:val="1"/>
          <w:numId w:val="13"/>
        </w:numPr>
        <w:spacing w:after="60" w:afterAutospacing="0"/>
        <w:ind w:left="426" w:hanging="426"/>
        <w:outlineLvl w:val="0"/>
        <w:rPr>
          <w:bCs/>
        </w:rPr>
      </w:pPr>
      <w:r>
        <w:t xml:space="preserve">В случае невозможности урегулирования споров и разногласий в претензионном порядке, Стороны вправе передать их на рассмотрение в Арбитражный суд в соответствии с действующем законодательством.  </w:t>
      </w:r>
    </w:p>
    <w:p>
      <w:pPr>
        <w:pStyle w:val="a3"/>
        <w:widowControl w:val="0"/>
        <w:numPr>
          <w:ilvl w:val="1"/>
          <w:numId w:val="13"/>
        </w:numPr>
        <w:outlineLvl w:val="0"/>
        <w:rPr>
          <w:bCs/>
        </w:rPr>
      </w:pPr>
      <w:r>
        <w:rPr>
          <w:bCs/>
        </w:rPr>
        <w:t>Общая сумма начисленной неустойки (штрафов, пени) за неисполнение или ненадлежащее исполнение Сублицензиатом обязательств, предусмотренных Договором, не может превышать цену Договора.</w:t>
      </w:r>
    </w:p>
    <w:p>
      <w:pPr>
        <w:pStyle w:val="a3"/>
        <w:widowControl w:val="0"/>
        <w:numPr>
          <w:ilvl w:val="1"/>
          <w:numId w:val="13"/>
        </w:numPr>
        <w:outlineLvl w:val="0"/>
        <w:rPr>
          <w:bCs/>
        </w:rPr>
      </w:pPr>
      <w:r>
        <w:rPr>
          <w:bCs/>
        </w:rPr>
        <w:t xml:space="preserve">Общая сумма начисленной неустойки (штрафов, пени) за ненадлежащее исполнение </w:t>
      </w:r>
      <w:proofErr w:type="spellStart"/>
      <w:r>
        <w:rPr>
          <w:bCs/>
        </w:rPr>
        <w:t>Субсублицензиатом</w:t>
      </w:r>
      <w:proofErr w:type="spellEnd"/>
      <w:r>
        <w:rPr>
          <w:bCs/>
        </w:rPr>
        <w:t xml:space="preserve"> обязательств, предусмотренных Договором, не может превышать цену Договора. </w:t>
      </w:r>
    </w:p>
    <w:p>
      <w:pPr>
        <w:pStyle w:val="2"/>
        <w:jc w:val="center"/>
        <w:rPr>
          <w:sz w:val="20"/>
          <w:szCs w:val="20"/>
        </w:rPr>
      </w:pPr>
      <w:r>
        <w:rPr>
          <w:sz w:val="20"/>
          <w:szCs w:val="20"/>
        </w:rPr>
        <w:t>КОНФИДЕНЦИАЛЬНОСТЬ</w:t>
      </w:r>
    </w:p>
    <w:p>
      <w:pPr>
        <w:rPr>
          <w:sz w:val="20"/>
          <w:szCs w:val="20"/>
        </w:rPr>
      </w:pP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Стороны обязуются не разглашать конфиденциальную информацию и не использовать ее, кроме как в целях исполнения обязательств по настоящему Договору.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Конфиденциальной считается информация, полученная в рамках выполнения настоящего Договора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lastRenderedPageBreak/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>
      <w:pPr>
        <w:pStyle w:val="2"/>
        <w:jc w:val="center"/>
        <w:rPr>
          <w:sz w:val="20"/>
          <w:szCs w:val="20"/>
        </w:rPr>
      </w:pPr>
      <w:r>
        <w:rPr>
          <w:sz w:val="20"/>
          <w:szCs w:val="20"/>
        </w:rPr>
        <w:t>ПРОЧИЕ УСЛОВИЯ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Настоящий Договор вступает в силу с даты его подписания и </w:t>
      </w:r>
      <w:bookmarkStart w:id="4" w:name="_Ref26774448"/>
      <w:r>
        <w:t>действует до исполнения Сторонами всех взятых на себя обязательств.</w:t>
      </w:r>
    </w:p>
    <w:bookmarkEnd w:id="4"/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Настоящий Договор может быть изменен либо дополнен на основании письменного соглашения Сторон или по другим основаниям, предусмотренным законом.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Настоящий Договор расторгается по соглашению Сторон или по решению суда в случае одностороннего отказа Стороны Договора от исполнения Договора в соответствии с гражданским законодательством. 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 xml:space="preserve">В настоящем Договоре стороны обязаны указывать юридический и фактический адрес местонахождения. В течение </w:t>
      </w:r>
      <w:r>
        <w:rPr>
          <w:color w:val="000000"/>
        </w:rPr>
        <w:t>5 (Пяти) рабочих дней с даты изменения фактического адреса и</w:t>
      </w:r>
      <w:r>
        <w:t xml:space="preserve">ли банковских реквизитов Стороны обязаны письменно уведомить об этом друг друга.  </w:t>
      </w:r>
    </w:p>
    <w:p>
      <w:pPr>
        <w:pStyle w:val="a3"/>
        <w:numPr>
          <w:ilvl w:val="1"/>
          <w:numId w:val="1"/>
        </w:numPr>
        <w:spacing w:after="60" w:afterAutospacing="0"/>
        <w:ind w:left="539" w:hanging="539"/>
      </w:pPr>
      <w:r>
        <w:t>Приложения к настоящему Договору:</w:t>
      </w:r>
    </w:p>
    <w:p>
      <w:pPr>
        <w:pStyle w:val="2"/>
        <w:numPr>
          <w:ilvl w:val="0"/>
          <w:numId w:val="5"/>
        </w:numPr>
        <w:tabs>
          <w:tab w:val="num" w:pos="900"/>
        </w:tabs>
        <w:spacing w:after="60"/>
        <w:ind w:left="896" w:hanging="357"/>
        <w:rPr>
          <w:b w:val="0"/>
          <w:color w:val="auto"/>
          <w:sz w:val="20"/>
          <w:szCs w:val="20"/>
        </w:rPr>
      </w:pPr>
      <w:r>
        <w:rPr>
          <w:b w:val="0"/>
          <w:color w:val="auto"/>
          <w:sz w:val="20"/>
          <w:szCs w:val="20"/>
        </w:rPr>
        <w:t>Приложение № 1 – «Спецификация на БД».</w:t>
      </w:r>
    </w:p>
    <w:p>
      <w:pPr>
        <w:pStyle w:val="a7"/>
        <w:numPr>
          <w:ilvl w:val="1"/>
          <w:numId w:val="13"/>
        </w:numPr>
        <w:rPr>
          <w:sz w:val="20"/>
          <w:szCs w:val="20"/>
        </w:rPr>
      </w:pPr>
      <w:r>
        <w:rPr>
          <w:sz w:val="20"/>
          <w:szCs w:val="20"/>
        </w:rPr>
        <w:t>Все сообщения, включая настоящий договор, соглашения, уведомления, счет и иные документы, оформленные для исполнения условий настоящего договора, полученные сторонами посредством факсимильной связи и электронной почты, признаются сторонами, юридически эквивалентными без каких-либо ограничений, документам, составленным в письменной форме, с последующим обменом сторонами оригиналов документов.</w:t>
      </w:r>
    </w:p>
    <w:p/>
    <w:p>
      <w:pPr>
        <w:jc w:val="center"/>
        <w:rPr>
          <w:sz w:val="20"/>
          <w:szCs w:val="20"/>
        </w:rPr>
      </w:pPr>
    </w:p>
    <w:p>
      <w:pPr>
        <w:pStyle w:val="2"/>
        <w:jc w:val="center"/>
        <w:rPr>
          <w:sz w:val="20"/>
          <w:szCs w:val="20"/>
        </w:rPr>
      </w:pPr>
      <w:r>
        <w:rPr>
          <w:sz w:val="20"/>
          <w:szCs w:val="20"/>
        </w:rPr>
        <w:t>АДРЕСА И БАНКОВСКИЕ РЕКВИЗИТЫ СТОРОН</w:t>
      </w:r>
    </w:p>
    <w:p>
      <w:pPr>
        <w:rPr>
          <w:sz w:val="20"/>
          <w:szCs w:val="20"/>
        </w:rPr>
      </w:pPr>
    </w:p>
    <w:tbl>
      <w:tblPr>
        <w:tblW w:w="5126" w:type="pct"/>
        <w:tblInd w:w="-83" w:type="dxa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92"/>
        <w:gridCol w:w="2234"/>
        <w:gridCol w:w="2021"/>
        <w:gridCol w:w="136"/>
        <w:gridCol w:w="1040"/>
        <w:gridCol w:w="2192"/>
        <w:gridCol w:w="2029"/>
        <w:gridCol w:w="539"/>
        <w:gridCol w:w="701"/>
        <w:gridCol w:w="119"/>
      </w:tblGrid>
      <w:tr>
        <w:trPr>
          <w:gridBefore w:val="1"/>
          <w:gridAfter w:val="1"/>
          <w:wBefore w:w="41" w:type="pct"/>
          <w:wAfter w:w="54" w:type="pct"/>
          <w:cantSplit/>
          <w:trHeight w:val="1416"/>
        </w:trPr>
        <w:tc>
          <w:tcPr>
            <w:tcW w:w="1916" w:type="pct"/>
            <w:gridSpan w:val="2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Сублицензиат:</w:t>
            </w:r>
          </w:p>
          <w:p>
            <w:pPr>
              <w:rPr>
                <w:sz w:val="20"/>
                <w:szCs w:val="20"/>
              </w:rPr>
            </w:pPr>
          </w:p>
        </w:tc>
        <w:tc>
          <w:tcPr>
            <w:tcW w:w="529" w:type="pct"/>
            <w:gridSpan w:val="2"/>
          </w:tcPr>
          <w:p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460" w:type="pct"/>
            <w:gridSpan w:val="4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</w:t>
            </w:r>
            <w:proofErr w:type="spellStart"/>
            <w:r>
              <w:rPr>
                <w:sz w:val="20"/>
                <w:szCs w:val="20"/>
              </w:rPr>
              <w:t>Субсублицензиат</w:t>
            </w:r>
            <w:proofErr w:type="spellEnd"/>
            <w:r>
              <w:rPr>
                <w:sz w:val="20"/>
                <w:szCs w:val="20"/>
              </w:rPr>
              <w:t>:</w:t>
            </w:r>
          </w:p>
          <w:tbl>
            <w:tblPr>
              <w:tblW w:w="4508" w:type="dxa"/>
              <w:tblInd w:w="558" w:type="dxa"/>
              <w:tblLook w:val="04A0" w:firstRow="1" w:lastRow="0" w:firstColumn="1" w:lastColumn="0" w:noHBand="0" w:noVBand="1"/>
            </w:tblPr>
            <w:tblGrid>
              <w:gridCol w:w="4508"/>
            </w:tblGrid>
            <w:tr>
              <w:trPr>
                <w:trHeight w:val="4483"/>
              </w:trPr>
              <w:tc>
                <w:tcPr>
                  <w:tcW w:w="4508" w:type="dxa"/>
                  <w:shd w:val="clear" w:color="auto" w:fill="auto"/>
                </w:tcPr>
                <w:p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ГБДОУ детский сад № 80</w:t>
                  </w:r>
                </w:p>
                <w:p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Московского района Санкт-Петербурга 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Юридический Адрес:</w:t>
                  </w:r>
                  <w:r>
                    <w:rPr>
                      <w:sz w:val="20"/>
                      <w:szCs w:val="20"/>
                    </w:rPr>
                    <w:t xml:space="preserve">196158 Санкт-Петербург, </w:t>
                  </w:r>
                  <w:proofErr w:type="spellStart"/>
                  <w:r>
                    <w:rPr>
                      <w:sz w:val="20"/>
                      <w:szCs w:val="20"/>
                    </w:rPr>
                    <w:t>Пулковское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шоссе, дом 34 корп.2,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лит.А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>;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Адрес:</w:t>
                  </w:r>
                  <w:r>
                    <w:rPr>
                      <w:sz w:val="20"/>
                      <w:szCs w:val="20"/>
                    </w:rPr>
                    <w:t xml:space="preserve"> Санкт-Петербург, Дунайский проспект 7 корпус 5, литер А;</w:t>
                  </w:r>
                  <w:r>
                    <w:rPr>
                      <w:b/>
                      <w:sz w:val="20"/>
                      <w:szCs w:val="20"/>
                    </w:rPr>
                    <w:t xml:space="preserve"> Адрес:</w:t>
                  </w:r>
                  <w:r>
                    <w:rPr>
                      <w:sz w:val="20"/>
                      <w:szCs w:val="20"/>
                    </w:rPr>
                    <w:t xml:space="preserve"> Санкт-Петербург ул. Федора </w:t>
                  </w:r>
                  <w:proofErr w:type="spellStart"/>
                  <w:r>
                    <w:rPr>
                      <w:sz w:val="20"/>
                      <w:szCs w:val="20"/>
                    </w:rPr>
                    <w:t>Котанова</w:t>
                  </w:r>
                  <w:proofErr w:type="spellEnd"/>
                  <w:r>
                    <w:rPr>
                      <w:sz w:val="20"/>
                      <w:szCs w:val="20"/>
                    </w:rPr>
                    <w:t>, д. 3, корп. 3, стр.1</w:t>
                  </w:r>
                  <w:r>
                    <w:rPr>
                      <w:b/>
                      <w:sz w:val="20"/>
                      <w:szCs w:val="20"/>
                    </w:rPr>
                    <w:br/>
                    <w:t>Телефон/факс:</w:t>
                  </w:r>
                  <w:r>
                    <w:rPr>
                      <w:sz w:val="20"/>
                      <w:szCs w:val="20"/>
                    </w:rPr>
                    <w:t xml:space="preserve"> 373-51-80, 616-47-26</w:t>
                  </w:r>
                </w:p>
                <w:p>
                  <w:pPr>
                    <w:rPr>
                      <w:sz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</w:rPr>
                    <w:t>Расч</w:t>
                  </w:r>
                  <w:proofErr w:type="spellEnd"/>
                  <w:r>
                    <w:rPr>
                      <w:sz w:val="20"/>
                    </w:rPr>
                    <w:t>./</w:t>
                  </w:r>
                  <w:proofErr w:type="gramEnd"/>
                  <w:r>
                    <w:rPr>
                      <w:sz w:val="20"/>
                    </w:rPr>
                    <w:t>счет</w:t>
                  </w:r>
                  <w:r>
                    <w:rPr>
                      <w:sz w:val="20"/>
                    </w:rPr>
                    <w:tab/>
                    <w:t>40102810945370000005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ОКЦ № 1 СЗГУ Банка России//УФК по г. Санкт-Петербургу, г Санкт-Петербургу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казн.счет</w:t>
                  </w:r>
                  <w:proofErr w:type="spellEnd"/>
                  <w:proofErr w:type="gramEnd"/>
                  <w:r>
                    <w:rPr>
                      <w:sz w:val="20"/>
                      <w:szCs w:val="20"/>
                    </w:rPr>
                    <w:t xml:space="preserve"> 03224643400000007200                                                                                                   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Лицевой счет</w:t>
                  </w:r>
                  <w:r>
                    <w:rPr>
                      <w:sz w:val="20"/>
                      <w:szCs w:val="20"/>
                    </w:rPr>
                    <w:tab/>
                    <w:t>0591164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ОКПО  79819996</w:t>
                  </w:r>
                  <w:proofErr w:type="gramEnd"/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ОГРН</w:t>
                  </w:r>
                  <w:r>
                    <w:rPr>
                      <w:sz w:val="20"/>
                      <w:szCs w:val="20"/>
                    </w:rPr>
                    <w:tab/>
                    <w:t>1067847718718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ИНН</w:t>
                  </w:r>
                  <w:r>
                    <w:rPr>
                      <w:sz w:val="20"/>
                      <w:szCs w:val="20"/>
                    </w:rPr>
                    <w:tab/>
                    <w:t>7810056364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КПП</w:t>
                  </w:r>
                  <w:r>
                    <w:rPr>
                      <w:sz w:val="20"/>
                      <w:szCs w:val="20"/>
                    </w:rPr>
                    <w:tab/>
                    <w:t>781001001</w:t>
                  </w:r>
                </w:p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БИК</w:t>
                  </w:r>
                  <w:r>
                    <w:rPr>
                      <w:sz w:val="20"/>
                      <w:szCs w:val="20"/>
                    </w:rPr>
                    <w:tab/>
                    <w:t>014030106</w:t>
                  </w:r>
                </w:p>
                <w:p>
                  <w:pPr>
                    <w:spacing w:line="256" w:lineRule="auto"/>
                    <w:rPr>
                      <w:sz w:val="20"/>
                      <w:szCs w:val="20"/>
                      <w:lang w:val="en-US"/>
                    </w:rPr>
                  </w:pPr>
                  <w:bookmarkStart w:id="5" w:name="_GoBack"/>
                  <w:bookmarkEnd w:id="5"/>
                </w:p>
              </w:tc>
            </w:tr>
          </w:tbl>
          <w:p>
            <w:pPr>
              <w:rPr>
                <w:sz w:val="20"/>
                <w:szCs w:val="20"/>
              </w:rPr>
            </w:pPr>
          </w:p>
        </w:tc>
      </w:tr>
      <w:tr>
        <w:trPr>
          <w:gridBefore w:val="1"/>
          <w:gridAfter w:val="1"/>
          <w:wBefore w:w="41" w:type="pct"/>
          <w:wAfter w:w="54" w:type="pct"/>
          <w:cantSplit/>
          <w:trHeight w:val="155"/>
        </w:trPr>
        <w:tc>
          <w:tcPr>
            <w:tcW w:w="1916" w:type="pct"/>
            <w:gridSpan w:val="2"/>
          </w:tcPr>
          <w:p>
            <w:pPr>
              <w:keepNext/>
              <w:rPr>
                <w:sz w:val="20"/>
                <w:szCs w:val="20"/>
              </w:rPr>
            </w:pPr>
          </w:p>
        </w:tc>
        <w:tc>
          <w:tcPr>
            <w:tcW w:w="529" w:type="pct"/>
            <w:gridSpan w:val="2"/>
          </w:tcPr>
          <w:p>
            <w:pPr>
              <w:keepNext/>
              <w:rPr>
                <w:sz w:val="20"/>
                <w:szCs w:val="20"/>
              </w:rPr>
            </w:pPr>
          </w:p>
        </w:tc>
        <w:tc>
          <w:tcPr>
            <w:tcW w:w="2460" w:type="pct"/>
            <w:gridSpan w:val="4"/>
          </w:tcPr>
          <w:p>
            <w:pPr>
              <w:keepNext/>
              <w:rPr>
                <w:sz w:val="20"/>
                <w:szCs w:val="20"/>
              </w:rPr>
            </w:pPr>
          </w:p>
        </w:tc>
      </w:tr>
      <w:tr>
        <w:trPr>
          <w:gridBefore w:val="1"/>
          <w:gridAfter w:val="1"/>
          <w:wBefore w:w="41" w:type="pct"/>
          <w:wAfter w:w="54" w:type="pct"/>
          <w:cantSplit/>
          <w:trHeight w:val="167"/>
        </w:trPr>
        <w:tc>
          <w:tcPr>
            <w:tcW w:w="1916" w:type="pct"/>
            <w:gridSpan w:val="2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529" w:type="pct"/>
            <w:gridSpan w:val="2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0" w:type="pct"/>
            <w:gridSpan w:val="4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48"/>
        </w:trPr>
        <w:tc>
          <w:tcPr>
            <w:tcW w:w="1977" w:type="pct"/>
            <w:gridSpan w:val="3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ОТ </w:t>
            </w:r>
            <w:r>
              <w:rPr>
                <w:b/>
                <w:bCs/>
                <w:sz w:val="20"/>
                <w:szCs w:val="20"/>
              </w:rPr>
              <w:t>СУБЛИЦЕНЗИАТА</w:t>
            </w:r>
          </w:p>
        </w:tc>
        <w:tc>
          <w:tcPr>
            <w:tcW w:w="468" w:type="pct"/>
            <w:tcBorders>
              <w:left w:val="nil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144" w:type="pct"/>
            <w:gridSpan w:val="3"/>
            <w:noWrap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ОТ СУБСУБЛ</w:t>
            </w:r>
            <w:r>
              <w:rPr>
                <w:b/>
                <w:bCs/>
                <w:sz w:val="20"/>
                <w:szCs w:val="20"/>
              </w:rPr>
              <w:t>ИЦЕНЗИАТА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48"/>
        </w:trPr>
        <w:tc>
          <w:tcPr>
            <w:tcW w:w="1977" w:type="pct"/>
            <w:gridSpan w:val="3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nil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144" w:type="pct"/>
            <w:gridSpan w:val="3"/>
            <w:noWrap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48"/>
        </w:trPr>
        <w:tc>
          <w:tcPr>
            <w:tcW w:w="1977" w:type="pct"/>
            <w:gridSpan w:val="3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nil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144" w:type="pct"/>
            <w:gridSpan w:val="3"/>
            <w:noWrap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102"/>
        </w:trPr>
        <w:tc>
          <w:tcPr>
            <w:tcW w:w="1977" w:type="pct"/>
            <w:gridSpan w:val="3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Style w:val="Normaltext"/>
                <w:szCs w:val="20"/>
              </w:rPr>
              <w:t>Исполнительный директор</w:t>
            </w:r>
          </w:p>
        </w:tc>
        <w:tc>
          <w:tcPr>
            <w:tcW w:w="468" w:type="pct"/>
            <w:tcBorders>
              <w:left w:val="nil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2144" w:type="pct"/>
            <w:gridSpan w:val="3"/>
            <w:tcBorders>
              <w:bottom w:val="single" w:sz="4" w:space="0" w:color="auto"/>
            </w:tcBorders>
            <w:noWrap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Заведующий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113"/>
        </w:trPr>
        <w:tc>
          <w:tcPr>
            <w:tcW w:w="1977" w:type="pct"/>
            <w:gridSpan w:val="3"/>
            <w:tcBorders>
              <w:top w:val="single" w:sz="4" w:space="0" w:color="auto"/>
            </w:tcBorders>
            <w:noWrap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(должность)</w:t>
            </w:r>
          </w:p>
        </w:tc>
        <w:tc>
          <w:tcPr>
            <w:tcW w:w="468" w:type="pct"/>
            <w:tcBorders>
              <w:left w:val="nil"/>
            </w:tcBorders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44" w:type="pct"/>
            <w:gridSpan w:val="3"/>
            <w:tcBorders>
              <w:top w:val="single" w:sz="4" w:space="0" w:color="auto"/>
            </w:tcBorders>
            <w:noWrap/>
          </w:tcPr>
          <w:p>
            <w:pPr>
              <w:jc w:val="center"/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0" w:type="pct"/>
          <w:trHeight w:val="577"/>
        </w:trPr>
        <w:tc>
          <w:tcPr>
            <w:tcW w:w="1977" w:type="pct"/>
            <w:gridSpan w:val="3"/>
            <w:noWrap/>
          </w:tcPr>
          <w:p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</w:rPr>
              <w:t>М.П.</w:t>
            </w:r>
            <w:r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68" w:type="pct"/>
            <w:tcBorders>
              <w:left w:val="nil"/>
            </w:tcBorders>
          </w:tcPr>
          <w:p>
            <w:pPr>
              <w:rPr>
                <w:b/>
                <w:sz w:val="20"/>
                <w:szCs w:val="20"/>
              </w:rPr>
            </w:pPr>
          </w:p>
        </w:tc>
        <w:tc>
          <w:tcPr>
            <w:tcW w:w="1901" w:type="pct"/>
            <w:gridSpan w:val="2"/>
            <w:noWrap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М.П.</w:t>
            </w:r>
          </w:p>
        </w:tc>
        <w:tc>
          <w:tcPr>
            <w:tcW w:w="243" w:type="pct"/>
          </w:tcPr>
          <w:p>
            <w:pPr>
              <w:rPr>
                <w:b/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1" w:type="pct"/>
          <w:trHeight w:val="31"/>
        </w:trPr>
        <w:tc>
          <w:tcPr>
            <w:tcW w:w="1006" w:type="pct"/>
            <w:tcBorders>
              <w:bottom w:val="single" w:sz="4" w:space="0" w:color="auto"/>
            </w:tcBorders>
            <w:noWrap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 ______/</w:t>
            </w:r>
          </w:p>
        </w:tc>
        <w:tc>
          <w:tcPr>
            <w:tcW w:w="468" w:type="pct"/>
            <w:tcBorders>
              <w:lef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noWrap/>
          </w:tcPr>
          <w:p>
            <w:pPr>
              <w:rPr>
                <w:sz w:val="20"/>
                <w:szCs w:val="20"/>
                <w:u w:val="single"/>
                <w:lang w:val="en-US"/>
              </w:rPr>
            </w:pPr>
          </w:p>
        </w:tc>
        <w:tc>
          <w:tcPr>
            <w:tcW w:w="914" w:type="pct"/>
          </w:tcPr>
          <w:p>
            <w:pPr>
              <w:rPr>
                <w:rStyle w:val="Normaltext"/>
                <w:szCs w:val="20"/>
              </w:rPr>
            </w:pPr>
            <w:r>
              <w:rPr>
                <w:sz w:val="20"/>
                <w:szCs w:val="20"/>
              </w:rPr>
              <w:t xml:space="preserve"> / Федорова Н.А</w:t>
            </w:r>
            <w:r>
              <w:rPr>
                <w:rStyle w:val="Normaltext"/>
                <w:szCs w:val="20"/>
              </w:rPr>
              <w:t xml:space="preserve"> /</w:t>
            </w:r>
          </w:p>
          <w:p/>
        </w:tc>
        <w:tc>
          <w:tcPr>
            <w:tcW w:w="243" w:type="pct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2"/>
          <w:wBefore w:w="41" w:type="pct"/>
          <w:wAfter w:w="371" w:type="pct"/>
          <w:trHeight w:val="31"/>
        </w:trPr>
        <w:tc>
          <w:tcPr>
            <w:tcW w:w="1006" w:type="pct"/>
            <w:tcBorders>
              <w:bottom w:val="single" w:sz="4" w:space="0" w:color="auto"/>
            </w:tcBorders>
            <w:noWrap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68" w:type="pct"/>
            <w:tcBorders>
              <w:left w:val="nil"/>
            </w:tcBorders>
          </w:tcPr>
          <w:p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7" w:type="pct"/>
            <w:tcBorders>
              <w:bottom w:val="single" w:sz="4" w:space="0" w:color="auto"/>
            </w:tcBorders>
            <w:noWrap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14" w:type="pct"/>
          </w:tcPr>
          <w:p/>
        </w:tc>
        <w:tc>
          <w:tcPr>
            <w:tcW w:w="243" w:type="pct"/>
          </w:tcPr>
          <w:p>
            <w:pPr>
              <w:rPr>
                <w:sz w:val="20"/>
                <w:szCs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515"/>
        </w:trPr>
        <w:tc>
          <w:tcPr>
            <w:tcW w:w="5000" w:type="pct"/>
            <w:gridSpan w:val="10"/>
            <w:tcBorders>
              <w:bottom w:val="nil"/>
            </w:tcBorders>
          </w:tcPr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Heading"/>
                <w:bCs/>
                <w:szCs w:val="20"/>
              </w:rPr>
            </w:pPr>
          </w:p>
          <w:p>
            <w:pPr>
              <w:jc w:val="right"/>
              <w:rPr>
                <w:rStyle w:val="Normaltext"/>
                <w:b/>
                <w:bCs/>
                <w:szCs w:val="20"/>
              </w:rPr>
            </w:pPr>
            <w:r>
              <w:rPr>
                <w:rStyle w:val="Heading"/>
                <w:bCs/>
                <w:szCs w:val="20"/>
              </w:rPr>
              <w:t>ПРИЛОЖЕНИЕ</w:t>
            </w:r>
            <w:r>
              <w:rPr>
                <w:b/>
                <w:bCs/>
                <w:sz w:val="20"/>
                <w:szCs w:val="20"/>
              </w:rPr>
              <w:t xml:space="preserve"> № 1</w:t>
            </w:r>
            <w:r>
              <w:rPr>
                <w:rStyle w:val="Normaltext"/>
                <w:b/>
                <w:szCs w:val="20"/>
              </w:rPr>
              <w:t xml:space="preserve">           </w:t>
            </w: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b/>
                <w:sz w:val="20"/>
                <w:szCs w:val="20"/>
                <w:u w:val="single"/>
              </w:rPr>
            </w:pPr>
            <w:r>
              <w:rPr>
                <w:rStyle w:val="Normaltext"/>
                <w:b/>
                <w:szCs w:val="20"/>
              </w:rPr>
              <w:t xml:space="preserve">  к Договору №_________</w:t>
            </w: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Normaltext"/>
                <w:b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  <w:r>
              <w:rPr>
                <w:rStyle w:val="Normaltext"/>
                <w:b/>
                <w:szCs w:val="20"/>
              </w:rPr>
              <w:t>от ____ Июля 2026г.</w:t>
            </w:r>
          </w:p>
          <w:p>
            <w:pPr>
              <w:spacing w:after="60"/>
              <w:jc w:val="center"/>
              <w:rPr>
                <w:b/>
                <w:bCs/>
                <w:sz w:val="20"/>
                <w:szCs w:val="20"/>
              </w:rPr>
            </w:pPr>
          </w:p>
          <w:p>
            <w:pPr>
              <w:spacing w:after="60"/>
              <w:jc w:val="center"/>
              <w:rPr>
                <w:rStyle w:val="Heading"/>
                <w:bCs/>
                <w:szCs w:val="20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</w:t>
            </w:r>
            <w:r>
              <w:rPr>
                <w:b/>
                <w:bCs/>
                <w:sz w:val="20"/>
                <w:szCs w:val="20"/>
              </w:rPr>
              <w:t>ПЕЦИФИКАЦИЯ НА БД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5183"/>
        </w:trPr>
        <w:tc>
          <w:tcPr>
            <w:tcW w:w="5000" w:type="pct"/>
            <w:gridSpan w:val="10"/>
          </w:tcPr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tbl>
            <w:tblPr>
              <w:tblW w:w="1087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03"/>
              <w:gridCol w:w="4288"/>
              <w:gridCol w:w="2452"/>
              <w:gridCol w:w="1702"/>
              <w:gridCol w:w="1932"/>
            </w:tblGrid>
            <w:tr>
              <w:trPr>
                <w:trHeight w:val="1235"/>
                <w:jc w:val="center"/>
              </w:trPr>
              <w:tc>
                <w:tcPr>
                  <w:tcW w:w="2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9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Наименование БД, </w:t>
                  </w:r>
                </w:p>
                <w:p>
                  <w:pPr>
                    <w:spacing w:before="60" w:after="6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Срок действия Лицензии, месяц</w:t>
                  </w:r>
                </w:p>
              </w:tc>
              <w:tc>
                <w:tcPr>
                  <w:tcW w:w="11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Количество лицензий, шт.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Вознаграждение за одну лицензию,</w:t>
                  </w:r>
                  <w:r>
                    <w:rPr>
                      <w:b/>
                      <w:sz w:val="20"/>
                      <w:szCs w:val="20"/>
                    </w:rPr>
                    <w:br/>
                    <w:t>руб. (НДС не облагается)</w:t>
                  </w:r>
                </w:p>
              </w:tc>
              <w:tc>
                <w:tcPr>
                  <w:tcW w:w="8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Общая сумма вознаграждения,</w:t>
                  </w:r>
                  <w:r>
                    <w:rPr>
                      <w:b/>
                      <w:sz w:val="20"/>
                      <w:szCs w:val="20"/>
                    </w:rPr>
                    <w:br/>
                    <w:t>руб. (НДС не облагается)</w:t>
                  </w:r>
                </w:p>
              </w:tc>
            </w:tr>
            <w:tr>
              <w:trPr>
                <w:trHeight w:val="800"/>
                <w:jc w:val="center"/>
              </w:trPr>
              <w:tc>
                <w:tcPr>
                  <w:tcW w:w="2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  <w:p>
                  <w:pPr>
                    <w:pStyle w:val="2"/>
                    <w:numPr>
                      <w:ilvl w:val="0"/>
                      <w:numId w:val="0"/>
                    </w:numPr>
                    <w:spacing w:before="60" w:after="60"/>
                    <w:rPr>
                      <w:color w:val="auto"/>
                      <w:sz w:val="20"/>
                      <w:szCs w:val="20"/>
                    </w:rPr>
                  </w:pPr>
                </w:p>
              </w:tc>
              <w:tc>
                <w:tcPr>
                  <w:tcW w:w="19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ind w:right="108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ЭС "Образование", Без НДС. 2 пользователей 12 мес. Включая годовой абонемент на семинары</w:t>
                  </w:r>
                </w:p>
              </w:tc>
              <w:tc>
                <w:tcPr>
                  <w:tcW w:w="11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jc w:val="center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ind w:right="108"/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>
                  <w:pPr>
                    <w:spacing w:before="60" w:after="60"/>
                    <w:ind w:right="108"/>
                    <w:jc w:val="center"/>
                    <w:rPr>
                      <w:bCs/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341"/>
                <w:jc w:val="center"/>
              </w:trPr>
              <w:tc>
                <w:tcPr>
                  <w:tcW w:w="22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before="60" w:after="60"/>
                    <w:jc w:val="right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9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before="60" w:after="60"/>
                    <w:ind w:right="72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before="60" w:after="60"/>
                    <w:ind w:right="72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77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before="60" w:after="60"/>
                    <w:ind w:right="72"/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ИТОГО:</w:t>
                  </w:r>
                </w:p>
              </w:tc>
              <w:tc>
                <w:tcPr>
                  <w:tcW w:w="8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spacing w:before="60" w:after="60"/>
                    <w:ind w:right="72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341"/>
                <w:jc w:val="center"/>
              </w:trPr>
              <w:tc>
                <w:tcPr>
                  <w:tcW w:w="5000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>
                  <w:pPr>
                    <w:tabs>
                      <w:tab w:val="left" w:pos="7439"/>
                    </w:tabs>
                    <w:spacing w:before="60" w:after="60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НДС:                </w:t>
                  </w:r>
                </w:p>
              </w:tc>
            </w:tr>
          </w:tbl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  <w:tab w:val="left" w:pos="1394"/>
              </w:tabs>
              <w:outlineLvl w:val="0"/>
              <w:rPr>
                <w:rStyle w:val="Heading"/>
                <w:bCs/>
                <w:szCs w:val="20"/>
              </w:rPr>
            </w:pPr>
            <w:r>
              <w:rPr>
                <w:rStyle w:val="Heading"/>
                <w:bCs/>
                <w:szCs w:val="20"/>
              </w:rPr>
              <w:tab/>
            </w:r>
            <w:r>
              <w:rPr>
                <w:rStyle w:val="Heading"/>
                <w:bCs/>
                <w:szCs w:val="20"/>
              </w:rPr>
              <w:tab/>
            </w:r>
          </w:p>
          <w:tbl>
            <w:tblPr>
              <w:tblW w:w="10887" w:type="dxa"/>
              <w:tblLook w:val="04A0" w:firstRow="1" w:lastRow="0" w:firstColumn="1" w:lastColumn="0" w:noHBand="0" w:noVBand="1"/>
            </w:tblPr>
            <w:tblGrid>
              <w:gridCol w:w="2479"/>
              <w:gridCol w:w="2382"/>
              <w:gridCol w:w="281"/>
              <w:gridCol w:w="3109"/>
              <w:gridCol w:w="2029"/>
              <w:gridCol w:w="607"/>
            </w:tblGrid>
            <w:tr>
              <w:trPr>
                <w:trHeight w:val="47"/>
              </w:trPr>
              <w:tc>
                <w:tcPr>
                  <w:tcW w:w="223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                    ОТ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СУБЛИЦЕНЗИАТА</w:t>
                  </w: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39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hideMark/>
                </w:tcPr>
                <w:p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ОТ СУБСУБЛ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ИЦЕНЗИАТА</w:t>
                  </w:r>
                </w:p>
              </w:tc>
            </w:tr>
            <w:tr>
              <w:trPr>
                <w:trHeight w:val="47"/>
              </w:trPr>
              <w:tc>
                <w:tcPr>
                  <w:tcW w:w="223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39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47"/>
              </w:trPr>
              <w:tc>
                <w:tcPr>
                  <w:tcW w:w="223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39" w:type="pct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99"/>
              </w:trPr>
              <w:tc>
                <w:tcPr>
                  <w:tcW w:w="2232" w:type="pct"/>
                  <w:gridSpan w:val="2"/>
                  <w:tcBorders>
                    <w:bottom w:val="single" w:sz="4" w:space="0" w:color="auto"/>
                  </w:tcBorders>
                  <w:vAlign w:val="bottom"/>
                  <w:hideMark/>
                </w:tcPr>
                <w:p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rStyle w:val="Normaltext"/>
                      <w:szCs w:val="20"/>
                    </w:rPr>
                    <w:t>Исполнительный директор</w:t>
                  </w: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</w:t>
                  </w:r>
                </w:p>
              </w:tc>
              <w:tc>
                <w:tcPr>
                  <w:tcW w:w="2639" w:type="pct"/>
                  <w:gridSpan w:val="3"/>
                  <w:tcBorders>
                    <w:bottom w:val="single" w:sz="4" w:space="0" w:color="auto"/>
                  </w:tcBorders>
                  <w:noWrap/>
                  <w:hideMark/>
                </w:tcPr>
                <w:p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Заведующий</w:t>
                  </w:r>
                </w:p>
              </w:tc>
            </w:tr>
            <w:tr>
              <w:trPr>
                <w:trHeight w:val="109"/>
              </w:trPr>
              <w:tc>
                <w:tcPr>
                  <w:tcW w:w="2232" w:type="pct"/>
                  <w:gridSpan w:val="2"/>
                  <w:tcBorders>
                    <w:top w:val="single" w:sz="4" w:space="0" w:color="auto"/>
                  </w:tcBorders>
                  <w:noWrap/>
                  <w:hideMark/>
                </w:tcPr>
                <w:p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(должность)</w:t>
                  </w: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639" w:type="pct"/>
                  <w:gridSpan w:val="3"/>
                  <w:tcBorders>
                    <w:top w:val="single" w:sz="4" w:space="0" w:color="auto"/>
                  </w:tcBorders>
                  <w:noWrap/>
                  <w:hideMark/>
                </w:tcPr>
                <w:p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30"/>
              </w:trPr>
              <w:tc>
                <w:tcPr>
                  <w:tcW w:w="2232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hideMark/>
                </w:tcPr>
                <w:p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М.П.</w:t>
                  </w: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  <w:p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236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hideMark/>
                </w:tcPr>
                <w:p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М.П.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b/>
                      <w:sz w:val="20"/>
                      <w:szCs w:val="20"/>
                    </w:rPr>
                  </w:pPr>
                </w:p>
              </w:tc>
            </w:tr>
            <w:tr>
              <w:trPr>
                <w:trHeight w:val="30"/>
              </w:trPr>
              <w:tc>
                <w:tcPr>
                  <w:tcW w:w="1138" w:type="pct"/>
                  <w:tcBorders>
                    <w:bottom w:val="single" w:sz="4" w:space="0" w:color="auto"/>
                  </w:tcBorders>
                  <w:noWrap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94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/ _____ /</w:t>
                  </w:r>
                </w:p>
              </w:tc>
              <w:tc>
                <w:tcPr>
                  <w:tcW w:w="12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jc w:val="right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28" w:type="pct"/>
                  <w:tcBorders>
                    <w:bottom w:val="single" w:sz="4" w:space="0" w:color="auto"/>
                  </w:tcBorders>
                  <w:noWrap/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>
                  <w:pPr>
                    <w:rPr>
                      <w:sz w:val="20"/>
                      <w:szCs w:val="20"/>
                    </w:rPr>
                  </w:pPr>
                  <w:r>
                    <w:rPr>
                      <w:rStyle w:val="Normaltext"/>
                      <w:szCs w:val="20"/>
                    </w:rPr>
                    <w:t>/ Федорова Н.А. /</w:t>
                  </w:r>
                </w:p>
              </w:tc>
              <w:tc>
                <w:tcPr>
                  <w:tcW w:w="279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>
            <w:pPr>
              <w:rPr>
                <w:sz w:val="20"/>
                <w:szCs w:val="20"/>
              </w:rPr>
            </w:pPr>
          </w:p>
          <w:p>
            <w:pPr>
              <w:rPr>
                <w:sz w:val="20"/>
                <w:szCs w:val="20"/>
              </w:rPr>
            </w:pPr>
          </w:p>
          <w:p>
            <w:pPr>
              <w:pStyle w:val="ParagraphStyle"/>
              <w:tabs>
                <w:tab w:val="left" w:pos="990"/>
                <w:tab w:val="left" w:pos="1394"/>
              </w:tabs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  <w:p>
            <w:pPr>
              <w:pStyle w:val="ParagraphStyle"/>
              <w:tabs>
                <w:tab w:val="left" w:pos="990"/>
              </w:tabs>
              <w:jc w:val="right"/>
              <w:outlineLvl w:val="0"/>
              <w:rPr>
                <w:rStyle w:val="Heading"/>
                <w:bCs/>
                <w:szCs w:val="20"/>
              </w:rPr>
            </w:pPr>
          </w:p>
        </w:tc>
      </w:tr>
    </w:tbl>
    <w:p>
      <w:pPr>
        <w:pStyle w:val="1"/>
        <w:keepLines w:val="0"/>
        <w:widowControl w:val="0"/>
        <w:suppressAutoHyphens/>
        <w:spacing w:before="0" w:after="57"/>
      </w:pPr>
    </w:p>
    <w:p/>
    <w:p/>
    <w:p/>
    <w:p/>
    <w:p/>
    <w:p/>
    <w:p/>
    <w:p/>
    <w:p/>
    <w:p/>
    <w:p/>
    <w:p/>
    <w:p/>
    <w:p/>
    <w:p/>
    <w:p/>
    <w:p/>
    <w:p>
      <w:pPr>
        <w:pStyle w:val="ParagraphStyle"/>
        <w:numPr>
          <w:ilvl w:val="0"/>
          <w:numId w:val="14"/>
        </w:numPr>
        <w:tabs>
          <w:tab w:val="left" w:pos="990"/>
        </w:tabs>
        <w:jc w:val="right"/>
        <w:outlineLvl w:val="0"/>
        <w:rPr>
          <w:b/>
          <w:bCs/>
          <w:sz w:val="20"/>
          <w:szCs w:val="20"/>
        </w:rPr>
      </w:pPr>
    </w:p>
    <w:p>
      <w:pPr>
        <w:pStyle w:val="ParagraphStyle"/>
        <w:tabs>
          <w:tab w:val="left" w:pos="990"/>
        </w:tabs>
        <w:jc w:val="right"/>
        <w:outlineLvl w:val="0"/>
        <w:rPr>
          <w:sz w:val="20"/>
          <w:szCs w:val="20"/>
        </w:rPr>
      </w:pPr>
    </w:p>
    <w:p>
      <w:pPr>
        <w:pStyle w:val="ParagraphStyle"/>
        <w:tabs>
          <w:tab w:val="left" w:pos="990"/>
        </w:tabs>
        <w:jc w:val="right"/>
        <w:outlineLvl w:val="0"/>
        <w:rPr>
          <w:rStyle w:val="Heading"/>
        </w:rPr>
      </w:pPr>
      <w:r>
        <w:rPr>
          <w:sz w:val="20"/>
          <w:szCs w:val="20"/>
        </w:rPr>
        <w:t>Договор № __________</w:t>
      </w:r>
      <w:r>
        <w:rPr>
          <w:rStyle w:val="Heading"/>
          <w:b w:val="0"/>
          <w:szCs w:val="20"/>
        </w:rPr>
        <w:t xml:space="preserve"> </w:t>
      </w:r>
      <w:r>
        <w:rPr>
          <w:rStyle w:val="Heading"/>
          <w:b w:val="0"/>
          <w:bCs/>
          <w:szCs w:val="20"/>
        </w:rPr>
        <w:t>от ___июля 2026 г.</w:t>
      </w:r>
    </w:p>
    <w:p>
      <w:pPr>
        <w:pStyle w:val="ParagraphStyle"/>
        <w:numPr>
          <w:ilvl w:val="0"/>
          <w:numId w:val="14"/>
        </w:numPr>
        <w:tabs>
          <w:tab w:val="left" w:pos="990"/>
        </w:tabs>
        <w:suppressAutoHyphens/>
        <w:spacing w:after="57"/>
        <w:ind w:left="0" w:firstLine="0"/>
        <w:jc w:val="center"/>
        <w:outlineLvl w:val="0"/>
        <w:rPr>
          <w:bCs/>
          <w:sz w:val="20"/>
          <w:szCs w:val="20"/>
        </w:rPr>
      </w:pPr>
    </w:p>
    <w:p>
      <w:pPr>
        <w:pStyle w:val="1"/>
        <w:keepLines w:val="0"/>
        <w:widowControl w:val="0"/>
        <w:numPr>
          <w:ilvl w:val="0"/>
          <w:numId w:val="14"/>
        </w:numPr>
        <w:suppressAutoHyphens/>
        <w:spacing w:before="0" w:after="57"/>
        <w:ind w:left="0" w:firstLine="0"/>
        <w:jc w:val="center"/>
      </w:pPr>
    </w:p>
    <w:p>
      <w:pPr>
        <w:pStyle w:val="1"/>
        <w:keepLines w:val="0"/>
        <w:widowControl w:val="0"/>
        <w:numPr>
          <w:ilvl w:val="0"/>
          <w:numId w:val="14"/>
        </w:numPr>
        <w:suppressAutoHyphens/>
        <w:spacing w:before="0" w:after="57"/>
        <w:ind w:left="0" w:firstLine="0"/>
        <w:jc w:val="center"/>
      </w:pPr>
      <w:r>
        <w:rPr>
          <w:rFonts w:ascii="Times New Roman" w:hAnsi="Times New Roman"/>
          <w:color w:val="000000"/>
        </w:rPr>
        <w:t>АКТ № 1</w:t>
      </w:r>
    </w:p>
    <w:p>
      <w:pPr>
        <w:pStyle w:val="2"/>
        <w:numPr>
          <w:ilvl w:val="1"/>
          <w:numId w:val="14"/>
        </w:numPr>
        <w:suppressAutoHyphens/>
        <w:spacing w:after="170"/>
        <w:ind w:left="0" w:firstLine="0"/>
        <w:jc w:val="center"/>
        <w:rPr>
          <w:b w:val="0"/>
          <w:sz w:val="20"/>
          <w:szCs w:val="20"/>
        </w:rPr>
      </w:pPr>
      <w:r>
        <w:rPr>
          <w:sz w:val="20"/>
          <w:szCs w:val="20"/>
        </w:rPr>
        <w:t xml:space="preserve">приёма-передачи неисключительных прав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>
        <w:trPr>
          <w:jc w:val="center"/>
        </w:trPr>
        <w:tc>
          <w:tcPr>
            <w:tcW w:w="4818" w:type="dxa"/>
            <w:hideMark/>
          </w:tcPr>
          <w:p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4820" w:type="dxa"/>
            <w:hideMark/>
          </w:tcPr>
          <w:p>
            <w:pPr>
              <w:pStyle w:val="af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color w:val="000000"/>
              </w:rPr>
              <w:t>« ________»____________2026 года</w:t>
            </w:r>
          </w:p>
        </w:tc>
      </w:tr>
      <w:tr>
        <w:trPr>
          <w:jc w:val="center"/>
        </w:trPr>
        <w:tc>
          <w:tcPr>
            <w:tcW w:w="4818" w:type="dxa"/>
          </w:tcPr>
          <w:p>
            <w:pPr>
              <w:pStyle w:val="af"/>
              <w:rPr>
                <w:rFonts w:ascii="Times New Roman" w:hAnsi="Times New Roman" w:cs="Times New Roman"/>
              </w:rPr>
            </w:pPr>
          </w:p>
        </w:tc>
        <w:tc>
          <w:tcPr>
            <w:tcW w:w="4820" w:type="dxa"/>
          </w:tcPr>
          <w:p>
            <w:pPr>
              <w:pStyle w:val="af"/>
              <w:jc w:val="right"/>
              <w:rPr>
                <w:rFonts w:ascii="Times New Roman" w:hAnsi="Times New Roman" w:cs="Times New Roman"/>
                <w:color w:val="FF0000"/>
              </w:rPr>
            </w:pPr>
          </w:p>
        </w:tc>
      </w:tr>
    </w:tbl>
    <w:p>
      <w:pPr>
        <w:jc w:val="both"/>
        <w:rPr>
          <w:sz w:val="20"/>
          <w:szCs w:val="20"/>
        </w:rPr>
      </w:pPr>
      <w:r>
        <w:rPr>
          <w:rStyle w:val="Normaltext"/>
          <w:szCs w:val="20"/>
        </w:rPr>
        <w:t xml:space="preserve">Государственное бюджетное дошкольное образовательное учреждение детский сад № 80 Московского района Санкт-Петербурга, в лице Федоровой Надежды Александровны с одной стороны и _________________________________именуемое в дальнейшем </w:t>
      </w:r>
      <w:proofErr w:type="spellStart"/>
      <w:r>
        <w:rPr>
          <w:rStyle w:val="Normaltext"/>
          <w:szCs w:val="20"/>
        </w:rPr>
        <w:t>Субсублицензиат</w:t>
      </w:r>
      <w:proofErr w:type="spellEnd"/>
      <w:r>
        <w:rPr>
          <w:rStyle w:val="Normaltext"/>
          <w:szCs w:val="20"/>
        </w:rPr>
        <w:t>, в лице __________________________действующего на основании _______________________, и именуемый в дальнейшем Сублицензиат, с другой стороны, вместе именуемые Стороны,</w:t>
      </w:r>
      <w:r>
        <w:rPr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составили и подписали настоящий Акт о том, что Сублицензиат передал, а </w:t>
      </w:r>
      <w:proofErr w:type="spellStart"/>
      <w:r>
        <w:rPr>
          <w:sz w:val="20"/>
          <w:szCs w:val="20"/>
        </w:rPr>
        <w:t>Субсублицензиат</w:t>
      </w:r>
      <w:proofErr w:type="spellEnd"/>
      <w:r>
        <w:rPr>
          <w:sz w:val="20"/>
          <w:szCs w:val="20"/>
        </w:rPr>
        <w:t xml:space="preserve"> принял на основании Договора № ________ </w:t>
      </w:r>
      <w:r>
        <w:rPr>
          <w:rStyle w:val="Heading"/>
          <w:b w:val="0"/>
          <w:bCs/>
          <w:szCs w:val="20"/>
        </w:rPr>
        <w:t>от ___________ г</w:t>
      </w:r>
      <w:r>
        <w:rPr>
          <w:sz w:val="20"/>
          <w:szCs w:val="20"/>
        </w:rPr>
        <w:t>. на условиях простой (неисключительной) лицензии права на использование БД, а именно:</w:t>
      </w:r>
    </w:p>
    <w:p>
      <w:pPr>
        <w:jc w:val="both"/>
        <w:rPr>
          <w:bCs/>
          <w:sz w:val="20"/>
          <w:szCs w:val="20"/>
        </w:rPr>
      </w:pPr>
    </w:p>
    <w:tbl>
      <w:tblPr>
        <w:tblW w:w="0" w:type="auto"/>
        <w:tblInd w:w="6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2"/>
        <w:gridCol w:w="5748"/>
        <w:gridCol w:w="947"/>
        <w:gridCol w:w="450"/>
        <w:gridCol w:w="464"/>
        <w:gridCol w:w="1637"/>
        <w:gridCol w:w="1134"/>
      </w:tblGrid>
      <w:tr>
        <w:trPr>
          <w:cantSplit/>
          <w:tblHeader/>
        </w:trPr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5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БД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Цена, руб.</w:t>
            </w:r>
          </w:p>
        </w:tc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Кол- во</w:t>
            </w:r>
          </w:p>
        </w:tc>
        <w:tc>
          <w:tcPr>
            <w:tcW w:w="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НДС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>
            <w:pPr>
              <w:pStyle w:val="af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Сумма, руб.</w:t>
            </w:r>
          </w:p>
        </w:tc>
      </w:tr>
      <w:tr>
        <w:trPr>
          <w:cantSplit/>
        </w:trPr>
        <w:tc>
          <w:tcPr>
            <w:tcW w:w="38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ЭС "Образование", Без НДС. 2 пользователей 12 мес. Включая годовой абонемент на семинары</w:t>
            </w:r>
          </w:p>
        </w:tc>
        <w:tc>
          <w:tcPr>
            <w:tcW w:w="94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>
            <w:pPr>
              <w:pStyle w:val="af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6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Без НДС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f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rPr>
          <w:cantSplit/>
        </w:trPr>
        <w:tc>
          <w:tcPr>
            <w:tcW w:w="9628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>
            <w:pPr>
              <w:pStyle w:val="af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(без НДС)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Сумма прописью: ______________  рублей 00 копеек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af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>
        <w:trPr>
          <w:cantSplit/>
        </w:trPr>
        <w:tc>
          <w:tcPr>
            <w:tcW w:w="10762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9630" w:type="dxa"/>
              <w:tblInd w:w="5" w:type="dxa"/>
              <w:tblLayout w:type="fixed"/>
              <w:tblCellMar>
                <w:top w:w="170" w:type="dxa"/>
                <w:left w:w="57" w:type="dxa"/>
                <w:bottom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9630"/>
            </w:tblGrid>
            <w:tr>
              <w:trPr>
                <w:cantSplit/>
              </w:trPr>
              <w:tc>
                <w:tcPr>
                  <w:tcW w:w="9634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>
                  <w:pPr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Сублицензиат выполнил все обязательства по договору № </w:t>
                  </w:r>
                  <w:r>
                    <w:rPr>
                      <w:rStyle w:val="Heading"/>
                      <w:b w:val="0"/>
                      <w:bCs/>
                      <w:szCs w:val="20"/>
                    </w:rPr>
                    <w:t xml:space="preserve">_____________ от __________ </w:t>
                  </w:r>
                  <w:r>
                    <w:rPr>
                      <w:bCs/>
                      <w:color w:val="000000"/>
                      <w:sz w:val="20"/>
                      <w:szCs w:val="20"/>
                    </w:rPr>
                    <w:t xml:space="preserve">г. </w:t>
                  </w:r>
                  <w:r>
                    <w:rPr>
                      <w:sz w:val="20"/>
                      <w:szCs w:val="20"/>
                      <w:lang w:eastAsia="en-US"/>
                    </w:rPr>
                    <w:t>в полном объёме в срок и с надлежащим качеством.</w:t>
                  </w:r>
                  <w:r>
                    <w:rPr>
                      <w:sz w:val="20"/>
                      <w:szCs w:val="20"/>
                      <w:lang w:eastAsia="en-US"/>
                    </w:rPr>
                    <w:br/>
                  </w:r>
                </w:p>
                <w:p>
                  <w:pPr>
                    <w:rPr>
                      <w:sz w:val="20"/>
                      <w:szCs w:val="20"/>
                      <w:lang w:eastAsia="en-US"/>
                    </w:rPr>
                  </w:pPr>
                  <w:proofErr w:type="spellStart"/>
                  <w:r>
                    <w:rPr>
                      <w:sz w:val="20"/>
                      <w:szCs w:val="20"/>
                      <w:lang w:eastAsia="en-US"/>
                    </w:rPr>
                    <w:t>Субсублицензиат</w:t>
                  </w:r>
                  <w:proofErr w:type="spellEnd"/>
                  <w:r>
                    <w:rPr>
                      <w:sz w:val="20"/>
                      <w:szCs w:val="20"/>
                      <w:lang w:eastAsia="en-US"/>
                    </w:rPr>
                    <w:t xml:space="preserve"> претензий к Сублицензиату не имеет.</w:t>
                  </w:r>
                  <w:r>
                    <w:rPr>
                      <w:sz w:val="20"/>
                      <w:szCs w:val="20"/>
                      <w:lang w:eastAsia="en-US"/>
                    </w:rPr>
                    <w:br/>
                  </w:r>
                </w:p>
                <w:p>
                  <w:pPr>
                    <w:rPr>
                      <w:sz w:val="20"/>
                      <w:szCs w:val="20"/>
                      <w:lang w:eastAsia="en-US"/>
                    </w:rPr>
                  </w:pPr>
                </w:p>
                <w:tbl>
                  <w:tblPr>
                    <w:tblW w:w="0" w:type="auto"/>
                    <w:tblLayout w:type="fixed"/>
                    <w:tblCellMar>
                      <w:left w:w="57" w:type="dxa"/>
                      <w:bottom w:w="57" w:type="dxa"/>
                      <w:right w:w="57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82"/>
                    <w:gridCol w:w="3525"/>
                    <w:gridCol w:w="1904"/>
                    <w:gridCol w:w="3432"/>
                    <w:gridCol w:w="377"/>
                  </w:tblGrid>
                  <w:t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Подписи Сторон</w:t>
                        </w:r>
                      </w:p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</w:tr>
                  <w:t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Сублицензиат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Субсублицензиат</w:t>
                        </w:r>
                        <w:proofErr w:type="spellEnd"/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</w:tr>
                  <w:tr>
                    <w:trPr>
                      <w:trHeight w:val="424"/>
                    </w:trP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vAlign w:val="bottom"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bottom w:val="single" w:sz="2" w:space="0" w:color="000000"/>
                        </w:tcBorders>
                        <w:vAlign w:val="bottom"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</w:tr>
                  <w:t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0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0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(подпись)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0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0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(подпись)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0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</w:tr>
                  <w:tr>
                    <w:tc>
                      <w:tcPr>
                        <w:tcW w:w="2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5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М. П.</w:t>
                        </w:r>
                      </w:p>
                    </w:tc>
                    <w:tc>
                      <w:tcPr>
                        <w:tcW w:w="190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  <w:tc>
                      <w:tcPr>
                        <w:tcW w:w="343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hideMark/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  <w:t>М. П.</w:t>
                        </w:r>
                      </w:p>
                    </w:tc>
                    <w:tc>
                      <w:tcPr>
                        <w:tcW w:w="37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>
                        <w:pPr>
                          <w:pStyle w:val="af"/>
                          <w:jc w:val="center"/>
                          <w:rPr>
                            <w:rFonts w:ascii="Times New Roman" w:hAnsi="Times New Roman" w:cs="Times New Roman"/>
                            <w:kern w:val="0"/>
                            <w:sz w:val="20"/>
                            <w:szCs w:val="20"/>
                            <w:lang w:eastAsia="en-US" w:bidi="ar-SA"/>
                          </w:rPr>
                        </w:pPr>
                      </w:p>
                    </w:tc>
                  </w:tr>
                </w:tbl>
                <w:p>
                  <w:pPr>
                    <w:pStyle w:val="af"/>
                    <w:rPr>
                      <w:rFonts w:ascii="Times New Roman" w:hAnsi="Times New Roman" w:cs="Times New Roman"/>
                      <w:kern w:val="0"/>
                      <w:sz w:val="20"/>
                      <w:szCs w:val="20"/>
                      <w:lang w:eastAsia="en-US" w:bidi="ar-SA"/>
                    </w:rPr>
                  </w:pPr>
                </w:p>
              </w:tc>
            </w:tr>
          </w:tbl>
          <w:p>
            <w:pPr>
              <w:pStyle w:val="af"/>
              <w:jc w:val="both"/>
              <w:rPr>
                <w:sz w:val="4"/>
                <w:szCs w:val="4"/>
              </w:rPr>
            </w:pPr>
          </w:p>
        </w:tc>
      </w:tr>
    </w:tbl>
    <w:p>
      <w:pPr>
        <w:pStyle w:val="a3"/>
        <w:rPr>
          <w:sz w:val="4"/>
          <w:szCs w:val="4"/>
        </w:rPr>
      </w:pPr>
    </w:p>
    <w:p>
      <w:pPr>
        <w:rPr>
          <w:sz w:val="20"/>
          <w:szCs w:val="20"/>
        </w:rPr>
      </w:pPr>
    </w:p>
    <w:p>
      <w:pPr>
        <w:rPr>
          <w:sz w:val="20"/>
          <w:szCs w:val="20"/>
        </w:rPr>
      </w:pPr>
    </w:p>
    <w:p>
      <w:pPr>
        <w:rPr>
          <w:rStyle w:val="Heading"/>
          <w:bCs/>
        </w:rPr>
      </w:pPr>
    </w:p>
    <w:p/>
    <w:sectPr>
      <w:pgSz w:w="11906" w:h="16838"/>
      <w:pgMar w:top="238" w:right="567" w:bottom="24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90E07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2AE01C3"/>
    <w:multiLevelType w:val="multilevel"/>
    <w:tmpl w:val="4FBAE1D4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14B5B6BB"/>
    <w:multiLevelType w:val="multilevel"/>
    <w:tmpl w:val="28CAE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570"/>
        </w:tabs>
        <w:ind w:left="570" w:hanging="360"/>
      </w:pPr>
      <w:rPr>
        <w:rFonts w:ascii="Times New Roman" w:hAnsi="Times New Roman" w:cs="Times New Roman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016DB6"/>
    <w:multiLevelType w:val="hybridMultilevel"/>
    <w:tmpl w:val="7F76384A"/>
    <w:lvl w:ilvl="0" w:tplc="359AB53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CA645B5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8" w15:restartNumberingAfterBreak="0">
    <w:nsid w:val="5875593B"/>
    <w:multiLevelType w:val="hybridMultilevel"/>
    <w:tmpl w:val="76144058"/>
    <w:lvl w:ilvl="0" w:tplc="F136439E">
      <w:start w:val="1"/>
      <w:numFmt w:val="decimal"/>
      <w:lvlText w:val="3.%1. 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2"/>
        <w:szCs w:val="2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8"/>
  </w:num>
  <w:num w:numId="7">
    <w:abstractNumId w:val="6"/>
  </w:num>
  <w:num w:numId="8">
    <w:abstractNumId w:val="7"/>
  </w:num>
  <w:num w:numId="9">
    <w:abstractNumId w:val="7"/>
    <w:lvlOverride w:ilvl="0">
      <w:startOverride w:val="6"/>
    </w:lvlOverride>
    <w:lvlOverride w:ilvl="1">
      <w:startOverride w:val="5"/>
    </w:lvlOverride>
  </w:num>
  <w:num w:numId="10">
    <w:abstractNumId w:val="1"/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485F08-7100-4006-A675-73BE97C49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hAnsi="Cambria" w:cs="Times New Roman"/>
      <w:b/>
      <w:bCs/>
      <w:color w:val="365F91"/>
      <w:sz w:val="28"/>
      <w:szCs w:val="28"/>
      <w:lang w:val="x-none" w:eastAsia="ru-RU"/>
    </w:rPr>
  </w:style>
  <w:style w:type="character" w:customStyle="1" w:styleId="20">
    <w:name w:val="Заголовок 2 Знак"/>
    <w:link w:val="2"/>
    <w:uiPriority w:val="99"/>
    <w:locked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ParagraphStyle">
    <w:name w:val="Paragraph Style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4"/>
    </w:rPr>
  </w:style>
  <w:style w:type="character" w:customStyle="1" w:styleId="Normaltext">
    <w:name w:val="Normal text"/>
    <w:uiPriority w:val="99"/>
    <w:rPr>
      <w:sz w:val="20"/>
    </w:rPr>
  </w:style>
  <w:style w:type="character" w:customStyle="1" w:styleId="Heading">
    <w:name w:val="Heading"/>
    <w:uiPriority w:val="99"/>
    <w:rPr>
      <w:b/>
      <w:sz w:val="20"/>
    </w:rPr>
  </w:style>
  <w:style w:type="character" w:customStyle="1" w:styleId="Keywords">
    <w:name w:val="Keywords"/>
    <w:uiPriority w:val="99"/>
    <w:rPr>
      <w:i/>
      <w:color w:val="800000"/>
      <w:sz w:val="20"/>
    </w:rPr>
  </w:style>
  <w:style w:type="paragraph" w:styleId="a3">
    <w:name w:val="Body Text"/>
    <w:aliases w:val="contents,Body Text Russian"/>
    <w:basedOn w:val="a"/>
    <w:link w:val="a4"/>
    <w:uiPriority w:val="99"/>
    <w:pPr>
      <w:spacing w:after="100" w:afterAutospacing="1"/>
      <w:jc w:val="both"/>
    </w:pPr>
    <w:rPr>
      <w:sz w:val="20"/>
      <w:szCs w:val="20"/>
      <w:lang w:eastAsia="en-US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locked/>
    <w:rPr>
      <w:rFonts w:ascii="Times New Roman" w:hAnsi="Times New Roman" w:cs="Times New Roman"/>
      <w:sz w:val="20"/>
      <w:szCs w:val="20"/>
    </w:rPr>
  </w:style>
  <w:style w:type="character" w:styleId="a5">
    <w:name w:val="Hyperlink"/>
    <w:uiPriority w:val="99"/>
    <w:rPr>
      <w:rFonts w:cs="Times New Roman"/>
      <w:color w:val="0000FF"/>
      <w:u w:val="single"/>
    </w:rPr>
  </w:style>
  <w:style w:type="paragraph" w:customStyle="1" w:styleId="13">
    <w:name w:val="заголовок 13"/>
    <w:basedOn w:val="a"/>
    <w:next w:val="a"/>
    <w:pPr>
      <w:keepNext/>
      <w:autoSpaceDE w:val="0"/>
      <w:autoSpaceDN w:val="0"/>
      <w:spacing w:before="240" w:after="60"/>
      <w:jc w:val="center"/>
    </w:pPr>
    <w:rPr>
      <w:b/>
      <w:caps/>
      <w:kern w:val="28"/>
      <w:szCs w:val="20"/>
    </w:rPr>
  </w:style>
  <w:style w:type="paragraph" w:customStyle="1" w:styleId="a6">
    <w:name w:val="Инструкция"/>
    <w:basedOn w:val="a"/>
    <w:pPr>
      <w:autoSpaceDE w:val="0"/>
      <w:autoSpaceDN w:val="0"/>
      <w:ind w:firstLine="720"/>
      <w:jc w:val="both"/>
    </w:pPr>
    <w:rPr>
      <w:sz w:val="20"/>
      <w:szCs w:val="20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alloon Text"/>
    <w:basedOn w:val="a"/>
    <w:link w:val="a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</w:rPr>
  </w:style>
  <w:style w:type="character" w:styleId="aa">
    <w:name w:val="annotation reference"/>
    <w:uiPriority w:val="99"/>
    <w:semiHidden/>
    <w:unhideWhenUsed/>
    <w:rPr>
      <w:rFonts w:cs="Times New Roman"/>
      <w:sz w:val="16"/>
      <w:szCs w:val="16"/>
    </w:rPr>
  </w:style>
  <w:style w:type="paragraph" w:styleId="ab">
    <w:name w:val="annotation text"/>
    <w:basedOn w:val="a"/>
    <w:link w:val="ac"/>
    <w:uiPriority w:val="99"/>
    <w:unhideWhenUsed/>
    <w:rPr>
      <w:sz w:val="20"/>
      <w:szCs w:val="20"/>
    </w:rPr>
  </w:style>
  <w:style w:type="character" w:customStyle="1" w:styleId="ac">
    <w:name w:val="Текст примечания Знак"/>
    <w:link w:val="ab"/>
    <w:uiPriority w:val="99"/>
    <w:locked/>
    <w:rPr>
      <w:rFonts w:ascii="Times New Roman" w:hAnsi="Times New Roman" w:cs="Times New Roman"/>
    </w:rPr>
  </w:style>
  <w:style w:type="paragraph" w:styleId="ad">
    <w:name w:val="annotation subject"/>
    <w:basedOn w:val="ab"/>
    <w:next w:val="ab"/>
    <w:link w:val="ae"/>
    <w:uiPriority w:val="99"/>
    <w:semiHidden/>
    <w:unhideWhenUsed/>
    <w:rPr>
      <w:b/>
      <w:bCs/>
    </w:rPr>
  </w:style>
  <w:style w:type="character" w:customStyle="1" w:styleId="ae">
    <w:name w:val="Тема примечания Знак"/>
    <w:link w:val="ad"/>
    <w:uiPriority w:val="99"/>
    <w:semiHidden/>
    <w:locked/>
    <w:rPr>
      <w:rFonts w:ascii="Times New Roman" w:hAnsi="Times New Roman" w:cs="Times New Roman"/>
      <w:b/>
      <w:bCs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locked/>
    <w:rPr>
      <w:rFonts w:ascii="Courier New" w:hAnsi="Courier New" w:cs="Courier New"/>
    </w:rPr>
  </w:style>
  <w:style w:type="paragraph" w:customStyle="1" w:styleId="af">
    <w:name w:val="Содержимое таблицы"/>
    <w:basedOn w:val="a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styleId="af0">
    <w:name w:val="Signature"/>
    <w:basedOn w:val="a"/>
    <w:link w:val="af1"/>
    <w:uiPriority w:val="99"/>
    <w:pPr>
      <w:widowControl w:val="0"/>
      <w:suppressLineNumbers/>
      <w:suppressAutoHyphens/>
      <w:spacing w:after="170"/>
    </w:pPr>
    <w:rPr>
      <w:rFonts w:ascii="Liberation Sans" w:eastAsia="SimSun" w:hAnsi="Liberation Sans" w:cs="Mangal"/>
      <w:kern w:val="1"/>
      <w:sz w:val="12"/>
      <w:lang w:eastAsia="zh-CN" w:bidi="hi-IN"/>
    </w:rPr>
  </w:style>
  <w:style w:type="character" w:customStyle="1" w:styleId="af1">
    <w:name w:val="Подпись Знак"/>
    <w:link w:val="af0"/>
    <w:uiPriority w:val="99"/>
    <w:locked/>
    <w:rPr>
      <w:rFonts w:ascii="Liberation Sans" w:eastAsia="SimSun" w:hAnsi="Liberation Sans" w:cs="Mangal"/>
      <w:kern w:val="1"/>
      <w:sz w:val="24"/>
      <w:szCs w:val="24"/>
      <w:lang w:val="x-none" w:eastAsia="zh-CN" w:bidi="hi-IN"/>
    </w:rPr>
  </w:style>
  <w:style w:type="paragraph" w:customStyle="1" w:styleId="af2">
    <w:name w:val="Заголовок таблицы"/>
    <w:basedOn w:val="af"/>
    <w:pPr>
      <w:jc w:val="center"/>
    </w:pPr>
    <w:rPr>
      <w:bCs/>
      <w:sz w:val="16"/>
    </w:rPr>
  </w:style>
  <w:style w:type="table" w:styleId="af3">
    <w:name w:val="Table Grid"/>
    <w:basedOn w:val="a1"/>
    <w:uiPriority w:val="59"/>
    <w:rPr>
      <w:rFonts w:eastAsia="Calibri" w:cs="Times New Roman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8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9DC20-0536-40D5-BFC4-4BB0D948F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2122</Words>
  <Characters>12102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14196</CharactersWithSpaces>
  <SharedDoc>false</SharedDoc>
  <HLinks>
    <vt:vector size="6" baseType="variant">
      <vt:variant>
        <vt:i4>7077935</vt:i4>
      </vt:variant>
      <vt:variant>
        <vt:i4>0</vt:i4>
      </vt:variant>
      <vt:variant>
        <vt:i4>0</vt:i4>
      </vt:variant>
      <vt:variant>
        <vt:i4>5</vt:i4>
      </vt:variant>
      <vt:variant>
        <vt:lpwstr>https://vip.1obraz.ru/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eleshina</dc:creator>
  <cp:keywords/>
  <cp:lastModifiedBy>Пользователь Windows</cp:lastModifiedBy>
  <cp:revision>7</cp:revision>
  <cp:lastPrinted>2020-12-28T16:56:00Z</cp:lastPrinted>
  <dcterms:created xsi:type="dcterms:W3CDTF">2023-12-11T13:45:00Z</dcterms:created>
  <dcterms:modified xsi:type="dcterms:W3CDTF">2026-07-13T09:45:00Z</dcterms:modified>
</cp:coreProperties>
</file>