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b/>
        </w:rPr>
        <w:t xml:space="preserve">КОНТРАКТ № </w:t>
      </w:r>
    </w:p>
    <w:p>
      <w:pPr>
        <w:jc w:val="center"/>
        <w:rPr>
          <w:b/>
        </w:rPr>
      </w:pPr>
    </w:p>
    <w:p>
      <w:pPr>
        <w:jc w:val="both"/>
      </w:pPr>
      <w:r>
        <w:t>г. Санкт- Петербург                                                                                от «   » июля 2026 г.</w:t>
      </w:r>
    </w:p>
    <w:p>
      <w:pPr>
        <w:jc w:val="both"/>
      </w:pPr>
    </w:p>
    <w:p>
      <w:pPr>
        <w:jc w:val="both"/>
        <w:rPr>
          <w:sz w:val="22"/>
          <w:szCs w:val="22"/>
        </w:rPr>
      </w:pPr>
    </w:p>
    <w:p>
      <w:pPr>
        <w:jc w:val="both"/>
      </w:pPr>
      <w:r>
        <w:t>ГОСУДАРСТВЕННОЕ 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_____, именуемый в дальнейшем «Поставщик», в лице ____, действующего на основании 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r>
        <w:t>:</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 ***</w:t>
      </w:r>
    </w:p>
    <w:p>
      <w:pPr>
        <w:jc w:val="both"/>
      </w:pPr>
    </w:p>
    <w:p>
      <w:pPr>
        <w:jc w:val="center"/>
        <w:rPr>
          <w:b/>
        </w:rPr>
      </w:pPr>
      <w:r>
        <w:rPr>
          <w:b/>
        </w:rPr>
        <w:t>2. Цена Контракта и порядок расчетов</w:t>
      </w:r>
    </w:p>
    <w:p>
      <w:pPr>
        <w:ind w:firstLine="708"/>
        <w:jc w:val="both"/>
      </w:pPr>
      <w:r>
        <w:t>2.1. Цена контракта составляет __ рублей __ копеек (___ рублей __ копеек), включая НДС,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lastRenderedPageBreak/>
        <w:t>3.2. Поставка Товара осуществляется по адресу, указанному в Техническом задании (приложение № 2 к Контракту).</w:t>
      </w:r>
    </w:p>
    <w:p>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lastRenderedPageBreak/>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lastRenderedPageBreak/>
        <w:t>Контрактом, размер штрафа устанавливается в виде фиксированной суммы в размере 1000 (одна тысяча) рублей.</w:t>
      </w:r>
    </w:p>
    <w:p>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spacing w:line="256" w:lineRule="auto"/>
              <w:ind w:firstLine="425"/>
              <w:rPr>
                <w:rFonts w:eastAsia="Courier New"/>
                <w:b/>
                <w:color w:val="000000"/>
                <w:sz w:val="20"/>
                <w:szCs w:val="20"/>
                <w:u w:val="single"/>
                <w:lang w:eastAsia="en-US" w:bidi="ru-RU"/>
              </w:rPr>
            </w:pPr>
            <w:r>
              <w:rPr>
                <w:rFonts w:eastAsia="Courier New"/>
                <w:b/>
                <w:color w:val="000000"/>
                <w:sz w:val="20"/>
                <w:szCs w:val="20"/>
                <w:u w:val="single"/>
                <w:lang w:eastAsia="en-US" w:bidi="ru-RU"/>
              </w:rPr>
              <w:lastRenderedPageBreak/>
              <w:t>ЗАКАЗЧИК</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r>
              <w:rPr>
                <w:b/>
                <w:sz w:val="20"/>
                <w:szCs w:val="20"/>
              </w:rPr>
              <w:t>Юридический Адрес:</w:t>
            </w:r>
            <w:r>
              <w:rPr>
                <w:sz w:val="20"/>
                <w:szCs w:val="20"/>
              </w:rPr>
              <w:t>196158 Санкт-Петербург, Пулковское шоссе, дом 34 корп.2, лит.А;</w:t>
            </w:r>
          </w:p>
          <w:p>
            <w:pPr>
              <w:rPr>
                <w:sz w:val="20"/>
                <w:szCs w:val="20"/>
              </w:rPr>
            </w:pPr>
            <w:r>
              <w:rPr>
                <w:b/>
                <w:sz w:val="20"/>
                <w:szCs w:val="20"/>
              </w:rPr>
              <w:t>Адрес:</w:t>
            </w:r>
            <w:r>
              <w:rPr>
                <w:sz w:val="20"/>
                <w:szCs w:val="20"/>
              </w:rPr>
              <w:t xml:space="preserve"> Санкт-Петербург, Дунайский проспект 7 корпус 5, литер А;</w:t>
            </w:r>
            <w:r>
              <w:rPr>
                <w:b/>
                <w:sz w:val="20"/>
                <w:szCs w:val="20"/>
              </w:rPr>
              <w:t xml:space="preserve"> Адрес:</w:t>
            </w:r>
            <w:r>
              <w:rPr>
                <w:sz w:val="20"/>
                <w:szCs w:val="20"/>
              </w:rPr>
              <w:t xml:space="preserve"> Санкт-Петербург ул. Федора Котанова, д. 3, корп. 3, стр.1</w:t>
            </w:r>
            <w:r>
              <w:rPr>
                <w:b/>
                <w:sz w:val="20"/>
                <w:szCs w:val="20"/>
              </w:rPr>
              <w:br/>
              <w:t>Телефон/факс:</w:t>
            </w:r>
            <w:r>
              <w:rPr>
                <w:sz w:val="20"/>
                <w:szCs w:val="20"/>
              </w:rPr>
              <w:t xml:space="preserve"> 373-51-80, 616-47-26</w:t>
            </w:r>
          </w:p>
          <w:p>
            <w:pPr>
              <w:rPr>
                <w:sz w:val="20"/>
              </w:rPr>
            </w:pPr>
            <w:r>
              <w:rPr>
                <w:sz w:val="20"/>
              </w:rPr>
              <w:t>Расч./счет</w:t>
            </w:r>
            <w:r>
              <w:rPr>
                <w:sz w:val="20"/>
              </w:rPr>
              <w:tab/>
              <w:t>40102810945370000005</w:t>
            </w:r>
          </w:p>
          <w:p>
            <w:pPr>
              <w:rPr>
                <w:sz w:val="20"/>
                <w:szCs w:val="20"/>
              </w:rPr>
            </w:pPr>
            <w:r>
              <w:rPr>
                <w:sz w:val="20"/>
                <w:szCs w:val="20"/>
              </w:rPr>
              <w:t xml:space="preserve">ОКЦ № 1 СЗГУ Банка России//УФК по г. Санкт-Петербургу, г Санкт-Петербургу казн.счет 03224643400000007200                                                                                                   </w:t>
            </w:r>
          </w:p>
          <w:p>
            <w:pPr>
              <w:rPr>
                <w:sz w:val="20"/>
                <w:szCs w:val="20"/>
              </w:rPr>
            </w:pPr>
            <w:r>
              <w:rPr>
                <w:sz w:val="20"/>
                <w:szCs w:val="20"/>
              </w:rPr>
              <w:t>Лицевой счет</w:t>
            </w:r>
            <w:r>
              <w:rPr>
                <w:sz w:val="20"/>
                <w:szCs w:val="20"/>
              </w:rPr>
              <w:tab/>
              <w:t>0591164</w:t>
            </w:r>
          </w:p>
          <w:p>
            <w:pPr>
              <w:rPr>
                <w:sz w:val="20"/>
                <w:szCs w:val="20"/>
              </w:rPr>
            </w:pPr>
            <w:r>
              <w:rPr>
                <w:sz w:val="20"/>
                <w:szCs w:val="20"/>
              </w:rPr>
              <w:t>ОКПО  79819996</w:t>
            </w:r>
          </w:p>
          <w:p>
            <w:pPr>
              <w:rPr>
                <w:sz w:val="20"/>
                <w:szCs w:val="20"/>
              </w:rPr>
            </w:pPr>
            <w:r>
              <w:rPr>
                <w:sz w:val="20"/>
                <w:szCs w:val="20"/>
              </w:rPr>
              <w:t>ОГРН</w:t>
            </w:r>
            <w:r>
              <w:rPr>
                <w:sz w:val="20"/>
                <w:szCs w:val="20"/>
              </w:rPr>
              <w:tab/>
              <w:t>1067847718718</w:t>
            </w:r>
          </w:p>
          <w:p>
            <w:pPr>
              <w:rPr>
                <w:sz w:val="20"/>
                <w:szCs w:val="20"/>
              </w:rPr>
            </w:pPr>
            <w:r>
              <w:rPr>
                <w:sz w:val="20"/>
                <w:szCs w:val="20"/>
              </w:rPr>
              <w:t>ИНН</w:t>
            </w:r>
            <w:r>
              <w:rPr>
                <w:sz w:val="20"/>
                <w:szCs w:val="20"/>
              </w:rPr>
              <w:tab/>
              <w:t>7810056364</w:t>
            </w:r>
          </w:p>
          <w:p>
            <w:pPr>
              <w:rPr>
                <w:sz w:val="20"/>
                <w:szCs w:val="20"/>
              </w:rPr>
            </w:pPr>
            <w:r>
              <w:rPr>
                <w:sz w:val="20"/>
                <w:szCs w:val="20"/>
              </w:rPr>
              <w:t>КПП</w:t>
            </w:r>
            <w:r>
              <w:rPr>
                <w:sz w:val="20"/>
                <w:szCs w:val="20"/>
              </w:rPr>
              <w:tab/>
              <w:t>781001001</w:t>
            </w:r>
          </w:p>
          <w:p>
            <w:pPr>
              <w:spacing w:line="256" w:lineRule="auto"/>
              <w:rPr>
                <w:sz w:val="20"/>
                <w:szCs w:val="20"/>
                <w:lang w:eastAsia="en-US"/>
              </w:rPr>
            </w:pPr>
            <w:r>
              <w:rPr>
                <w:sz w:val="20"/>
                <w:szCs w:val="20"/>
              </w:rPr>
              <w:t>БИК</w:t>
            </w:r>
            <w:r>
              <w:rPr>
                <w:sz w:val="20"/>
                <w:szCs w:val="20"/>
              </w:rPr>
              <w:tab/>
              <w:t>014030106</w:t>
            </w:r>
          </w:p>
          <w:p>
            <w:pPr>
              <w:spacing w:line="256" w:lineRule="auto"/>
              <w:rPr>
                <w:sz w:val="20"/>
                <w:szCs w:val="20"/>
                <w:lang w:eastAsia="en-US"/>
              </w:rPr>
            </w:pPr>
            <w:r>
              <w:rPr>
                <w:sz w:val="20"/>
                <w:szCs w:val="20"/>
                <w:lang w:eastAsia="en-US"/>
              </w:rPr>
              <w:t>Заведующий</w:t>
            </w:r>
          </w:p>
          <w:p>
            <w:pPr>
              <w:spacing w:line="256" w:lineRule="auto"/>
              <w:rPr>
                <w:sz w:val="20"/>
                <w:szCs w:val="20"/>
                <w:lang w:eastAsia="en-US"/>
              </w:rPr>
            </w:pPr>
          </w:p>
          <w:p>
            <w:pPr>
              <w:spacing w:line="256" w:lineRule="auto"/>
              <w:rPr>
                <w:sz w:val="20"/>
                <w:szCs w:val="20"/>
                <w:lang w:eastAsia="en-US"/>
              </w:rPr>
            </w:pPr>
            <w:r>
              <w:rPr>
                <w:sz w:val="20"/>
                <w:szCs w:val="20"/>
                <w:lang w:eastAsia="en-US"/>
              </w:rPr>
              <w:t xml:space="preserve"> ____________/ </w:t>
            </w:r>
            <w:r>
              <w:rPr>
                <w:color w:val="000000"/>
                <w:sz w:val="20"/>
                <w:szCs w:val="20"/>
                <w:lang w:eastAsia="en-US"/>
              </w:rPr>
              <w:t>Федорова Н. А.</w:t>
            </w:r>
            <w:r>
              <w:rPr>
                <w:sz w:val="20"/>
                <w:szCs w:val="20"/>
                <w:lang w:eastAsia="en-US"/>
              </w:rPr>
              <w:t xml:space="preserve">/ </w:t>
            </w:r>
          </w:p>
          <w:p>
            <w:pPr>
              <w:widowControl w:val="0"/>
              <w:spacing w:line="256" w:lineRule="auto"/>
              <w:ind w:firstLine="425"/>
              <w:rPr>
                <w:rFonts w:eastAsia="Courier New"/>
                <w:color w:val="000000"/>
                <w:sz w:val="20"/>
                <w:szCs w:val="20"/>
                <w:lang w:eastAsia="en-US" w:bidi="ru-RU"/>
              </w:rPr>
            </w:pPr>
            <w:r>
              <w:rPr>
                <w:sz w:val="20"/>
                <w:szCs w:val="20"/>
                <w:lang w:eastAsia="en-US"/>
              </w:rPr>
              <w:t>ПОДПИСАНО ЭП</w:t>
            </w:r>
          </w:p>
        </w:tc>
        <w:tc>
          <w:tcPr>
            <w:tcW w:w="4872" w:type="dxa"/>
          </w:tcPr>
          <w:p>
            <w:pPr>
              <w:spacing w:line="256" w:lineRule="auto"/>
              <w:rPr>
                <w:b/>
                <w:sz w:val="20"/>
                <w:szCs w:val="20"/>
                <w:u w:val="single"/>
                <w:lang w:eastAsia="en-US"/>
              </w:rPr>
            </w:pPr>
            <w:r>
              <w:rPr>
                <w:b/>
                <w:sz w:val="20"/>
                <w:szCs w:val="20"/>
                <w:u w:val="single"/>
                <w:lang w:eastAsia="en-US"/>
              </w:rPr>
              <w:t>Поставщик:</w:t>
            </w: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sz w:val="20"/>
                <w:szCs w:val="20"/>
              </w:rPr>
            </w:pPr>
            <w:r>
              <w:rPr>
                <w:sz w:val="20"/>
                <w:szCs w:val="20"/>
              </w:rPr>
              <w:t>________________/______./</w:t>
            </w:r>
          </w:p>
          <w:p>
            <w:pPr>
              <w:rPr>
                <w:b/>
                <w:sz w:val="20"/>
                <w:szCs w:val="20"/>
                <w:u w:val="single"/>
              </w:rPr>
            </w:pPr>
            <w:r>
              <w:rPr>
                <w:rFonts w:eastAsia="Courier New"/>
                <w:color w:val="000000"/>
                <w:sz w:val="20"/>
                <w:szCs w:val="20"/>
                <w:lang w:bidi="ru-RU"/>
              </w:rPr>
              <w:t xml:space="preserve">   (ПОДПИСАНО ЭП)</w:t>
            </w:r>
          </w:p>
          <w:p>
            <w:pPr>
              <w:spacing w:line="256" w:lineRule="auto"/>
              <w:rPr>
                <w:bCs/>
                <w:sz w:val="20"/>
                <w:szCs w:val="20"/>
                <w:lang w:eastAsia="en-US"/>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 «     » июля   2026г. №</w:t>
      </w:r>
      <w:r>
        <w:t xml:space="preserve"> </w:t>
      </w:r>
    </w:p>
    <w:p>
      <w:pPr>
        <w:jc w:val="right"/>
      </w:pPr>
    </w:p>
    <w:p>
      <w:pPr>
        <w:jc w:val="both"/>
      </w:pPr>
    </w:p>
    <w:p>
      <w:pPr>
        <w:jc w:val="center"/>
        <w:rPr>
          <w:b/>
        </w:rPr>
      </w:pPr>
      <w:r>
        <w:rPr>
          <w:b/>
        </w:rPr>
        <w:t>СПЕЦИФИКАЦИЯ</w:t>
      </w:r>
    </w:p>
    <w:tbl>
      <w:tblPr>
        <w:tblStyle w:val="a3"/>
        <w:tblW w:w="15026" w:type="dxa"/>
        <w:tblInd w:w="-5" w:type="dxa"/>
        <w:tblLayout w:type="fixed"/>
        <w:tblLook w:val="04A0" w:firstRow="1" w:lastRow="0" w:firstColumn="1" w:lastColumn="0" w:noHBand="0" w:noVBand="1"/>
      </w:tblPr>
      <w:tblGrid>
        <w:gridCol w:w="562"/>
        <w:gridCol w:w="1990"/>
        <w:gridCol w:w="709"/>
        <w:gridCol w:w="850"/>
        <w:gridCol w:w="1276"/>
        <w:gridCol w:w="992"/>
        <w:gridCol w:w="992"/>
        <w:gridCol w:w="6379"/>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1990" w:type="dxa"/>
          </w:tcPr>
          <w:p>
            <w:pPr>
              <w:jc w:val="center"/>
              <w:rPr>
                <w:b/>
                <w:sz w:val="20"/>
                <w:szCs w:val="20"/>
              </w:rPr>
            </w:pPr>
            <w:r>
              <w:rPr>
                <w:b/>
                <w:sz w:val="20"/>
                <w:szCs w:val="20"/>
              </w:rPr>
              <w:t xml:space="preserve">Наименование </w:t>
            </w:r>
          </w:p>
        </w:tc>
        <w:tc>
          <w:tcPr>
            <w:tcW w:w="709"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276" w:type="dxa"/>
          </w:tcPr>
          <w:p>
            <w:pPr>
              <w:jc w:val="center"/>
              <w:rPr>
                <w:b/>
                <w:sz w:val="20"/>
                <w:szCs w:val="20"/>
              </w:rPr>
            </w:pPr>
            <w:r>
              <w:rPr>
                <w:b/>
                <w:sz w:val="20"/>
                <w:szCs w:val="20"/>
              </w:rPr>
              <w:t>Цена за единицу,</w:t>
            </w:r>
          </w:p>
          <w:p>
            <w:pPr>
              <w:jc w:val="center"/>
              <w:rPr>
                <w:b/>
                <w:sz w:val="20"/>
                <w:szCs w:val="20"/>
              </w:rPr>
            </w:pPr>
            <w:r>
              <w:rPr>
                <w:b/>
                <w:sz w:val="20"/>
                <w:szCs w:val="20"/>
              </w:rPr>
              <w:t>руб. вкл.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6379"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вкл. НДС</w:t>
            </w:r>
          </w:p>
        </w:tc>
      </w:tr>
      <w:tr>
        <w:tc>
          <w:tcPr>
            <w:tcW w:w="562" w:type="dxa"/>
          </w:tcPr>
          <w:p>
            <w:pPr>
              <w:rPr>
                <w:sz w:val="22"/>
                <w:szCs w:val="22"/>
              </w:rPr>
            </w:pPr>
            <w:r>
              <w:rPr>
                <w:sz w:val="22"/>
                <w:szCs w:val="22"/>
              </w:rPr>
              <w:t>1</w:t>
            </w:r>
          </w:p>
        </w:tc>
        <w:tc>
          <w:tcPr>
            <w:tcW w:w="1990" w:type="dxa"/>
            <w:vAlign w:val="center"/>
          </w:tcPr>
          <w:p>
            <w:r>
              <w:t>Ингалятор</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6</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Расход аэрозоля, мл/мин: ≥ 0.2 ≤ 0.3</w:t>
            </w:r>
          </w:p>
          <w:p>
            <w:pPr>
              <w:rPr>
                <w:sz w:val="20"/>
                <w:szCs w:val="20"/>
              </w:rPr>
            </w:pPr>
            <w:r>
              <w:rPr>
                <w:sz w:val="20"/>
                <w:szCs w:val="20"/>
              </w:rPr>
              <w:t>Регулировка расхода аэрозоля: Да</w:t>
            </w:r>
          </w:p>
          <w:p>
            <w:pPr>
              <w:rPr>
                <w:sz w:val="20"/>
                <w:szCs w:val="20"/>
              </w:rPr>
            </w:pPr>
            <w:r>
              <w:rPr>
                <w:sz w:val="20"/>
                <w:szCs w:val="20"/>
              </w:rPr>
              <w:t>Назначение: Для лечения верхних дыхательных путей</w:t>
            </w:r>
          </w:p>
          <w:p>
            <w:pPr>
              <w:rPr>
                <w:sz w:val="20"/>
                <w:szCs w:val="20"/>
              </w:rPr>
            </w:pPr>
            <w:r>
              <w:rPr>
                <w:sz w:val="20"/>
                <w:szCs w:val="20"/>
              </w:rPr>
              <w:t>Маска детская: Да</w:t>
            </w:r>
          </w:p>
          <w:p>
            <w:pPr>
              <w:rPr>
                <w:sz w:val="20"/>
                <w:szCs w:val="20"/>
              </w:rPr>
            </w:pPr>
            <w:r>
              <w:rPr>
                <w:sz w:val="20"/>
                <w:szCs w:val="20"/>
              </w:rPr>
              <w:t>Ингаляция через нос: Неважно</w:t>
            </w:r>
          </w:p>
          <w:p>
            <w:pPr>
              <w:rPr>
                <w:sz w:val="20"/>
                <w:szCs w:val="20"/>
              </w:rPr>
            </w:pPr>
            <w:r>
              <w:rPr>
                <w:color w:val="000000" w:themeColor="text1"/>
                <w:sz w:val="20"/>
                <w:szCs w:val="20"/>
              </w:rPr>
              <w:t xml:space="preserve">Номенклатурная классификация медицинских изделий по видам: </w:t>
            </w:r>
            <w:r>
              <w:rPr>
                <w:color w:val="000000"/>
                <w:sz w:val="20"/>
                <w:szCs w:val="20"/>
              </w:rPr>
              <w:t>213220</w:t>
            </w:r>
          </w:p>
        </w:tc>
        <w:tc>
          <w:tcPr>
            <w:tcW w:w="1276" w:type="dxa"/>
          </w:tcPr>
          <w:p>
            <w:pPr>
              <w:jc w:val="center"/>
              <w:rPr>
                <w:sz w:val="20"/>
                <w:szCs w:val="20"/>
              </w:rPr>
            </w:pPr>
          </w:p>
        </w:tc>
      </w:tr>
      <w:tr>
        <w:tc>
          <w:tcPr>
            <w:tcW w:w="562" w:type="dxa"/>
          </w:tcPr>
          <w:p>
            <w:pPr>
              <w:rPr>
                <w:sz w:val="22"/>
                <w:szCs w:val="22"/>
              </w:rPr>
            </w:pPr>
            <w:r>
              <w:rPr>
                <w:sz w:val="22"/>
                <w:szCs w:val="22"/>
              </w:rPr>
              <w:t>2</w:t>
            </w:r>
          </w:p>
        </w:tc>
        <w:tc>
          <w:tcPr>
            <w:tcW w:w="1990" w:type="dxa"/>
            <w:vAlign w:val="center"/>
          </w:tcPr>
          <w:p>
            <w:r>
              <w:t>Глюкометр</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3</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Назначение: Измерение уровня глюкозы в свежей цельной капиллярной крови</w:t>
            </w:r>
          </w:p>
          <w:p>
            <w:pPr>
              <w:rPr>
                <w:sz w:val="20"/>
                <w:szCs w:val="20"/>
              </w:rPr>
            </w:pPr>
            <w:r>
              <w:rPr>
                <w:sz w:val="20"/>
                <w:szCs w:val="20"/>
              </w:rPr>
              <w:t>Диапазон измерений концентрации глюкозы: ≥ 0,5 и ≤35 ммоль</w:t>
            </w:r>
          </w:p>
          <w:p>
            <w:pPr>
              <w:rPr>
                <w:sz w:val="20"/>
                <w:szCs w:val="20"/>
              </w:rPr>
            </w:pPr>
            <w:r>
              <w:rPr>
                <w:sz w:val="20"/>
                <w:szCs w:val="20"/>
              </w:rPr>
              <w:t>Минимальный объём пробы, мкл: ≥ 0,5 и ≤1</w:t>
            </w:r>
          </w:p>
          <w:p>
            <w:pPr>
              <w:rPr>
                <w:sz w:val="20"/>
                <w:szCs w:val="20"/>
              </w:rPr>
            </w:pPr>
            <w:r>
              <w:rPr>
                <w:sz w:val="20"/>
                <w:szCs w:val="20"/>
              </w:rPr>
              <w:t>Время измерения: 5сек</w:t>
            </w:r>
          </w:p>
          <w:p>
            <w:pPr>
              <w:rPr>
                <w:sz w:val="20"/>
                <w:szCs w:val="20"/>
              </w:rPr>
            </w:pPr>
            <w:r>
              <w:rPr>
                <w:sz w:val="20"/>
                <w:szCs w:val="20"/>
              </w:rPr>
              <w:t>Ёмкость памяти: 250 результатов</w:t>
            </w:r>
          </w:p>
          <w:p>
            <w:pPr>
              <w:rPr>
                <w:sz w:val="20"/>
                <w:szCs w:val="20"/>
              </w:rPr>
            </w:pPr>
            <w:r>
              <w:rPr>
                <w:sz w:val="20"/>
                <w:szCs w:val="20"/>
              </w:rPr>
              <w:t>Питание: Литиевая батарейка</w:t>
            </w:r>
          </w:p>
          <w:p>
            <w:pPr>
              <w:rPr>
                <w:sz w:val="20"/>
                <w:szCs w:val="20"/>
              </w:rPr>
            </w:pPr>
            <w:r>
              <w:rPr>
                <w:sz w:val="20"/>
                <w:szCs w:val="20"/>
              </w:rPr>
              <w:t>Комплектация: Тест-полоски; Ланцеты</w:t>
            </w:r>
          </w:p>
          <w:p>
            <w:pPr>
              <w:rPr>
                <w:sz w:val="20"/>
                <w:szCs w:val="20"/>
              </w:rPr>
            </w:pPr>
            <w:r>
              <w:rPr>
                <w:color w:val="000000" w:themeColor="text1"/>
                <w:sz w:val="20"/>
                <w:szCs w:val="20"/>
              </w:rPr>
              <w:t xml:space="preserve">Номенклатурная классификация медицинских изделий по видам: </w:t>
            </w:r>
            <w:r>
              <w:rPr>
                <w:color w:val="000000"/>
                <w:sz w:val="20"/>
                <w:szCs w:val="20"/>
              </w:rPr>
              <w:t>344110</w:t>
            </w:r>
          </w:p>
        </w:tc>
        <w:tc>
          <w:tcPr>
            <w:tcW w:w="1276" w:type="dxa"/>
          </w:tcPr>
          <w:p>
            <w:pPr>
              <w:jc w:val="center"/>
              <w:rPr>
                <w:sz w:val="20"/>
                <w:szCs w:val="20"/>
              </w:rPr>
            </w:pPr>
          </w:p>
        </w:tc>
      </w:tr>
      <w:tr>
        <w:tc>
          <w:tcPr>
            <w:tcW w:w="562" w:type="dxa"/>
          </w:tcPr>
          <w:p>
            <w:pPr>
              <w:rPr>
                <w:sz w:val="22"/>
                <w:szCs w:val="22"/>
              </w:rPr>
            </w:pPr>
            <w:r>
              <w:rPr>
                <w:sz w:val="22"/>
                <w:szCs w:val="22"/>
              </w:rPr>
              <w:t>3</w:t>
            </w:r>
          </w:p>
        </w:tc>
        <w:tc>
          <w:tcPr>
            <w:tcW w:w="1990" w:type="dxa"/>
            <w:vAlign w:val="center"/>
          </w:tcPr>
          <w:p>
            <w:r>
              <w:t>Пульсоксиметр</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6</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Автономный источник питания: Да</w:t>
            </w:r>
          </w:p>
          <w:p>
            <w:pPr>
              <w:rPr>
                <w:sz w:val="20"/>
                <w:szCs w:val="20"/>
              </w:rPr>
            </w:pPr>
            <w:r>
              <w:rPr>
                <w:sz w:val="20"/>
                <w:szCs w:val="20"/>
              </w:rPr>
              <w:t>Вид датчика: Для детей</w:t>
            </w:r>
          </w:p>
          <w:p>
            <w:pPr>
              <w:rPr>
                <w:sz w:val="20"/>
                <w:szCs w:val="20"/>
              </w:rPr>
            </w:pPr>
            <w:r>
              <w:rPr>
                <w:sz w:val="20"/>
                <w:szCs w:val="20"/>
              </w:rPr>
              <w:t>ЖК дисплей: Да</w:t>
            </w:r>
          </w:p>
          <w:p>
            <w:pPr>
              <w:rPr>
                <w:sz w:val="20"/>
                <w:szCs w:val="20"/>
              </w:rPr>
            </w:pPr>
            <w:r>
              <w:rPr>
                <w:sz w:val="20"/>
                <w:szCs w:val="20"/>
              </w:rPr>
              <w:t>Звуковая и световая индикация: Да</w:t>
            </w:r>
          </w:p>
          <w:p>
            <w:pPr>
              <w:rPr>
                <w:sz w:val="20"/>
                <w:szCs w:val="20"/>
              </w:rPr>
            </w:pPr>
            <w:r>
              <w:rPr>
                <w:sz w:val="20"/>
                <w:szCs w:val="20"/>
              </w:rPr>
              <w:t>Показание измерения частоты пульса, максимальное, уд/мин: ≥ 240  и  ≤ 250</w:t>
            </w:r>
          </w:p>
          <w:p>
            <w:pPr>
              <w:rPr>
                <w:sz w:val="20"/>
                <w:szCs w:val="20"/>
              </w:rPr>
            </w:pPr>
            <w:r>
              <w:rPr>
                <w:sz w:val="20"/>
                <w:szCs w:val="20"/>
              </w:rPr>
              <w:t>Показатель SPO2: ≥ 40  и  ≤ 100 проц.</w:t>
            </w:r>
          </w:p>
          <w:p>
            <w:pPr>
              <w:rPr>
                <w:sz w:val="20"/>
                <w:szCs w:val="20"/>
              </w:rPr>
            </w:pPr>
            <w:r>
              <w:rPr>
                <w:color w:val="000000" w:themeColor="text1"/>
                <w:sz w:val="20"/>
                <w:szCs w:val="20"/>
              </w:rPr>
              <w:t xml:space="preserve">Номенклатурная классификация медицинских изделий по видам: </w:t>
            </w:r>
            <w:r>
              <w:rPr>
                <w:color w:val="000000"/>
                <w:sz w:val="20"/>
                <w:szCs w:val="20"/>
              </w:rPr>
              <w:t>149980</w:t>
            </w:r>
            <w:bookmarkStart w:id="0" w:name="_GoBack"/>
            <w:bookmarkEnd w:id="0"/>
          </w:p>
        </w:tc>
        <w:tc>
          <w:tcPr>
            <w:tcW w:w="1276" w:type="dxa"/>
          </w:tcPr>
          <w:p>
            <w:pPr>
              <w:jc w:val="center"/>
              <w:rPr>
                <w:sz w:val="20"/>
                <w:szCs w:val="20"/>
              </w:rPr>
            </w:pPr>
          </w:p>
        </w:tc>
      </w:tr>
      <w:tr>
        <w:tc>
          <w:tcPr>
            <w:tcW w:w="562" w:type="dxa"/>
          </w:tcPr>
          <w:p>
            <w:pPr>
              <w:rPr>
                <w:sz w:val="22"/>
                <w:szCs w:val="22"/>
              </w:rPr>
            </w:pPr>
            <w:r>
              <w:rPr>
                <w:sz w:val="22"/>
                <w:szCs w:val="22"/>
              </w:rPr>
              <w:t>4</w:t>
            </w:r>
          </w:p>
        </w:tc>
        <w:tc>
          <w:tcPr>
            <w:tcW w:w="1990" w:type="dxa"/>
            <w:vAlign w:val="center"/>
          </w:tcPr>
          <w:p>
            <w:r>
              <w:t>Фонарик диагностический</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6</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Длина: ≥ 13 и ≤ 15 см</w:t>
            </w:r>
          </w:p>
          <w:p>
            <w:pPr>
              <w:rPr>
                <w:sz w:val="20"/>
                <w:szCs w:val="20"/>
              </w:rPr>
            </w:pPr>
            <w:r>
              <w:rPr>
                <w:sz w:val="20"/>
                <w:szCs w:val="20"/>
              </w:rPr>
              <w:t>Материал: Металл</w:t>
            </w:r>
          </w:p>
          <w:p>
            <w:pPr>
              <w:rPr>
                <w:sz w:val="20"/>
                <w:szCs w:val="20"/>
              </w:rPr>
            </w:pPr>
            <w:r>
              <w:rPr>
                <w:sz w:val="20"/>
                <w:szCs w:val="20"/>
              </w:rPr>
              <w:t>Питание: две мизинчиковые батарейки</w:t>
            </w:r>
          </w:p>
          <w:p>
            <w:pPr>
              <w:rPr>
                <w:sz w:val="20"/>
                <w:szCs w:val="20"/>
              </w:rPr>
            </w:pPr>
            <w:r>
              <w:rPr>
                <w:sz w:val="20"/>
                <w:szCs w:val="20"/>
              </w:rPr>
              <w:lastRenderedPageBreak/>
              <w:t>Лампа: LED</w:t>
            </w:r>
          </w:p>
          <w:p>
            <w:pPr>
              <w:rPr>
                <w:sz w:val="20"/>
                <w:szCs w:val="20"/>
              </w:rPr>
            </w:pPr>
            <w:r>
              <w:rPr>
                <w:sz w:val="20"/>
                <w:szCs w:val="20"/>
              </w:rPr>
              <w:t>Применение: Применяется с целью определения глазного рефлекса, а также при осмотре кожи и ротовой полости пациента.</w:t>
            </w:r>
          </w:p>
        </w:tc>
        <w:tc>
          <w:tcPr>
            <w:tcW w:w="1276" w:type="dxa"/>
          </w:tcPr>
          <w:p>
            <w:pPr>
              <w:jc w:val="center"/>
              <w:rPr>
                <w:sz w:val="20"/>
                <w:szCs w:val="20"/>
              </w:rPr>
            </w:pPr>
          </w:p>
        </w:tc>
      </w:tr>
      <w:tr>
        <w:tc>
          <w:tcPr>
            <w:tcW w:w="562" w:type="dxa"/>
          </w:tcPr>
          <w:p>
            <w:pPr>
              <w:rPr>
                <w:sz w:val="22"/>
                <w:szCs w:val="22"/>
              </w:rPr>
            </w:pPr>
            <w:r>
              <w:rPr>
                <w:sz w:val="22"/>
                <w:szCs w:val="22"/>
              </w:rPr>
              <w:lastRenderedPageBreak/>
              <w:t>5</w:t>
            </w:r>
          </w:p>
        </w:tc>
        <w:tc>
          <w:tcPr>
            <w:tcW w:w="1990" w:type="dxa"/>
            <w:vAlign w:val="center"/>
          </w:tcPr>
          <w:p>
            <w:r>
              <w:t>Коврик дезинфекционный</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1</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Длина: ≥ 100 см</w:t>
            </w:r>
          </w:p>
          <w:p>
            <w:pPr>
              <w:rPr>
                <w:sz w:val="20"/>
                <w:szCs w:val="20"/>
              </w:rPr>
            </w:pPr>
            <w:r>
              <w:rPr>
                <w:sz w:val="20"/>
                <w:szCs w:val="20"/>
              </w:rPr>
              <w:t>Ширина: ≥ 100 см</w:t>
            </w:r>
          </w:p>
          <w:p>
            <w:pPr>
              <w:rPr>
                <w:sz w:val="20"/>
                <w:szCs w:val="20"/>
              </w:rPr>
            </w:pPr>
            <w:r>
              <w:rPr>
                <w:sz w:val="20"/>
                <w:szCs w:val="20"/>
              </w:rPr>
              <w:t>Объем: ≥ 15  и  &lt; 20 л</w:t>
            </w:r>
          </w:p>
          <w:p>
            <w:pPr>
              <w:rPr>
                <w:sz w:val="20"/>
                <w:szCs w:val="20"/>
              </w:rPr>
            </w:pPr>
          </w:p>
          <w:p>
            <w:pPr>
              <w:rPr>
                <w:sz w:val="20"/>
                <w:szCs w:val="20"/>
              </w:rPr>
            </w:pPr>
            <w:r>
              <w:rPr>
                <w:sz w:val="20"/>
                <w:szCs w:val="20"/>
              </w:rPr>
              <w:t xml:space="preserve">Назначение: Для оснащения медицинского кабинета детского сада, школы или иного учебного заведения </w:t>
            </w:r>
          </w:p>
          <w:p>
            <w:pPr>
              <w:rPr>
                <w:sz w:val="20"/>
                <w:szCs w:val="20"/>
              </w:rPr>
            </w:pPr>
            <w:r>
              <w:rPr>
                <w:sz w:val="20"/>
                <w:szCs w:val="20"/>
              </w:rPr>
              <w:t>Материал:  ПВХ</w:t>
            </w:r>
          </w:p>
          <w:p>
            <w:pPr>
              <w:rPr>
                <w:sz w:val="20"/>
                <w:szCs w:val="20"/>
              </w:rPr>
            </w:pPr>
            <w:r>
              <w:rPr>
                <w:sz w:val="20"/>
                <w:szCs w:val="20"/>
              </w:rPr>
              <w:t>Описание: Верхний слой состоит из крепкого материала в мелкую сетку. В промежуточном слое расположен прочный мат с повышенной впитываемостью. Нижний слой и боковые части сделаны из качественного влагонепроницаемого материала.</w:t>
            </w:r>
          </w:p>
          <w:p>
            <w:pPr>
              <w:rPr>
                <w:sz w:val="20"/>
                <w:szCs w:val="20"/>
              </w:rPr>
            </w:pPr>
          </w:p>
        </w:tc>
        <w:tc>
          <w:tcPr>
            <w:tcW w:w="1276" w:type="dxa"/>
          </w:tcPr>
          <w:p>
            <w:pPr>
              <w:jc w:val="center"/>
              <w:rPr>
                <w:sz w:val="20"/>
                <w:szCs w:val="20"/>
              </w:rPr>
            </w:pPr>
          </w:p>
        </w:tc>
      </w:tr>
      <w:tr>
        <w:tc>
          <w:tcPr>
            <w:tcW w:w="13750" w:type="dxa"/>
            <w:gridSpan w:val="8"/>
          </w:tcPr>
          <w:p>
            <w:pPr>
              <w:rPr>
                <w:color w:val="000000" w:themeColor="text1"/>
                <w:sz w:val="16"/>
                <w:szCs w:val="16"/>
                <w:shd w:val="clear" w:color="auto" w:fill="FFFFFF"/>
              </w:rPr>
            </w:pPr>
            <w:r>
              <w:rPr>
                <w:color w:val="000000" w:themeColor="text1"/>
                <w:sz w:val="16"/>
                <w:szCs w:val="16"/>
                <w:shd w:val="clear" w:color="auto" w:fill="FFFFFF"/>
              </w:rPr>
              <w:t>ИТОГО:</w:t>
            </w:r>
          </w:p>
        </w:tc>
        <w:tc>
          <w:tcPr>
            <w:tcW w:w="1276" w:type="dxa"/>
          </w:tcPr>
          <w:p>
            <w:pPr>
              <w:jc w:val="center"/>
              <w:rPr>
                <w:b/>
                <w:sz w:val="22"/>
                <w:szCs w:val="22"/>
              </w:rPr>
            </w:pPr>
          </w:p>
        </w:tc>
      </w:tr>
    </w:tbl>
    <w:p>
      <w:pPr>
        <w:rPr>
          <w:sz w:val="22"/>
          <w:szCs w:val="22"/>
        </w:rPr>
      </w:pPr>
    </w:p>
    <w:p>
      <w:r>
        <w:rPr>
          <w:sz w:val="22"/>
          <w:szCs w:val="22"/>
        </w:rPr>
        <w:t>ИТОГО:</w:t>
      </w:r>
      <w:r>
        <w:t xml:space="preserve"> </w:t>
      </w:r>
    </w:p>
    <w:p>
      <w:pPr>
        <w:rPr>
          <w:sz w:val="22"/>
          <w:szCs w:val="22"/>
        </w:rPr>
      </w:pP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tr>
    </w:tbl>
    <w:p>
      <w:pPr>
        <w:spacing w:after="160" w:line="259" w:lineRule="auto"/>
      </w:pPr>
      <w:r>
        <w:br w:type="page"/>
      </w:r>
    </w:p>
    <w:p>
      <w:pPr>
        <w:jc w:val="right"/>
        <w:sectPr>
          <w:pgSz w:w="16838" w:h="11906" w:orient="landscape"/>
          <w:pgMar w:top="1701" w:right="1134" w:bottom="851" w:left="1134" w:header="709" w:footer="709" w:gutter="0"/>
          <w:cols w:space="708"/>
          <w:docGrid w:linePitch="360"/>
        </w:sectPr>
      </w:pP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июля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2. Адрес поставки: 196158, г. Санкт-Петербург, ул. Федора Котанова, д.3,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4. Срок поставки: в течение 20 рабочих дней с момента заключения контракта</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376" w:type="dxa"/>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12E2E"/>
    <w:multiLevelType w:val="multilevel"/>
    <w:tmpl w:val="9CBA0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 w:type="paragraph" w:styleId="ae">
    <w:name w:val="Body Text Indent"/>
    <w:basedOn w:val="a"/>
    <w:link w:val="af"/>
    <w:uiPriority w:val="99"/>
    <w:unhideWhenUsed/>
    <w:pPr>
      <w:spacing w:after="120"/>
      <w:ind w:left="283"/>
    </w:pPr>
  </w:style>
  <w:style w:type="character" w:customStyle="1" w:styleId="af">
    <w:name w:val="Основной текст с отступом Знак"/>
    <w:basedOn w:val="a0"/>
    <w:link w:val="ae"/>
    <w:uiPriority w:val="99"/>
    <w:rPr>
      <w:rFonts w:ascii="Times New Roman" w:eastAsia="Times New Roman" w:hAnsi="Times New Roman" w:cs="Times New Roman"/>
      <w:sz w:val="24"/>
      <w:szCs w:val="24"/>
      <w:lang w:eastAsia="ru-RU"/>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1">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f0"/>
    <w:locked/>
    <w:rPr>
      <w:rFonts w:ascii="Times New Roman" w:eastAsia="Times New Roman" w:hAnsi="Times New Roman" w:cs="Times New Roman"/>
      <w:sz w:val="24"/>
      <w:szCs w:val="24"/>
      <w:lang w:eastAsia="ru-RU"/>
    </w:rPr>
  </w:style>
  <w:style w:type="character" w:styleId="af2">
    <w:name w:val="Strong"/>
    <w:basedOn w:val="a0"/>
    <w:uiPriority w:val="22"/>
    <w:qFormat/>
    <w:rPr>
      <w:b/>
      <w:bCs/>
    </w:rPr>
  </w:style>
  <w:style w:type="paragraph" w:customStyle="1" w:styleId="typographycsstypographystyled-sc-f7b03g-0">
    <w:name w:val="typographycss__typographystyled-sc-f7b03g-0"/>
    <w:basedOn w:val="a"/>
    <w:pPr>
      <w:spacing w:before="100" w:beforeAutospacing="1" w:after="100" w:afterAutospacing="1"/>
    </w:pPr>
  </w:style>
  <w:style w:type="character" w:styleId="af3">
    <w:name w:val="FollowedHyperlink"/>
    <w:basedOn w:val="a0"/>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5834">
      <w:bodyDiv w:val="1"/>
      <w:marLeft w:val="0"/>
      <w:marRight w:val="0"/>
      <w:marTop w:val="0"/>
      <w:marBottom w:val="0"/>
      <w:divBdr>
        <w:top w:val="none" w:sz="0" w:space="0" w:color="auto"/>
        <w:left w:val="none" w:sz="0" w:space="0" w:color="auto"/>
        <w:bottom w:val="none" w:sz="0" w:space="0" w:color="auto"/>
        <w:right w:val="none" w:sz="0" w:space="0" w:color="auto"/>
      </w:divBdr>
    </w:div>
    <w:div w:id="285507391">
      <w:bodyDiv w:val="1"/>
      <w:marLeft w:val="0"/>
      <w:marRight w:val="0"/>
      <w:marTop w:val="0"/>
      <w:marBottom w:val="0"/>
      <w:divBdr>
        <w:top w:val="none" w:sz="0" w:space="0" w:color="auto"/>
        <w:left w:val="none" w:sz="0" w:space="0" w:color="auto"/>
        <w:bottom w:val="none" w:sz="0" w:space="0" w:color="auto"/>
        <w:right w:val="none" w:sz="0" w:space="0" w:color="auto"/>
      </w:divBdr>
    </w:div>
    <w:div w:id="356122926">
      <w:bodyDiv w:val="1"/>
      <w:marLeft w:val="0"/>
      <w:marRight w:val="0"/>
      <w:marTop w:val="0"/>
      <w:marBottom w:val="0"/>
      <w:divBdr>
        <w:top w:val="none" w:sz="0" w:space="0" w:color="auto"/>
        <w:left w:val="none" w:sz="0" w:space="0" w:color="auto"/>
        <w:bottom w:val="none" w:sz="0" w:space="0" w:color="auto"/>
        <w:right w:val="none" w:sz="0" w:space="0" w:color="auto"/>
      </w:divBdr>
    </w:div>
    <w:div w:id="55752120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57167658">
      <w:bodyDiv w:val="1"/>
      <w:marLeft w:val="0"/>
      <w:marRight w:val="0"/>
      <w:marTop w:val="0"/>
      <w:marBottom w:val="0"/>
      <w:divBdr>
        <w:top w:val="none" w:sz="0" w:space="0" w:color="auto"/>
        <w:left w:val="none" w:sz="0" w:space="0" w:color="auto"/>
        <w:bottom w:val="none" w:sz="0" w:space="0" w:color="auto"/>
        <w:right w:val="none" w:sz="0" w:space="0" w:color="auto"/>
      </w:divBdr>
    </w:div>
    <w:div w:id="841773456">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21480804">
      <w:bodyDiv w:val="1"/>
      <w:marLeft w:val="0"/>
      <w:marRight w:val="0"/>
      <w:marTop w:val="0"/>
      <w:marBottom w:val="0"/>
      <w:divBdr>
        <w:top w:val="none" w:sz="0" w:space="0" w:color="auto"/>
        <w:left w:val="none" w:sz="0" w:space="0" w:color="auto"/>
        <w:bottom w:val="none" w:sz="0" w:space="0" w:color="auto"/>
        <w:right w:val="none" w:sz="0" w:space="0" w:color="auto"/>
      </w:divBdr>
    </w:div>
    <w:div w:id="1287783442">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 w:id="208274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C76EE-DCA2-4CEC-A3AB-816888561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11</Pages>
  <Words>4350</Words>
  <Characters>24801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79</cp:revision>
  <cp:lastPrinted>2025-04-09T07:20:00Z</cp:lastPrinted>
  <dcterms:created xsi:type="dcterms:W3CDTF">2024-02-15T11:12:00Z</dcterms:created>
  <dcterms:modified xsi:type="dcterms:W3CDTF">2026-07-13T12:35:00Z</dcterms:modified>
</cp:coreProperties>
</file>