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CB1" w:rsidRDefault="00114CB1" w:rsidP="00114CB1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  <w:r w:rsidRPr="00AD510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Нормативный метод</w:t>
      </w:r>
    </w:p>
    <w:p w:rsidR="00114CB1" w:rsidRDefault="00114CB1" w:rsidP="00114CB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F92AE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Обоснование и расчет начальной (максимальной) цены контракта</w:t>
      </w:r>
    </w:p>
    <w:p w:rsidR="00114CB1" w:rsidRPr="000627D1" w:rsidRDefault="00114CB1" w:rsidP="00114CB1">
      <w:pPr>
        <w:tabs>
          <w:tab w:val="left" w:pos="2685"/>
        </w:tabs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27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НМЦК определена и обоснована в соответствие с требованиями статьи 22 Федерального закона от 05.04.2013 № 44-ФЗ « О контрактной системе в сфере закупок товаров, работ, услуг для обеспечения государственных и муниципальных нужд» (далее – Закон 44 ФЗ) и на основании Методических рекомендаций по применению методов определения начальной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0627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максимальной) цены к</w:t>
      </w:r>
      <w:bookmarkStart w:id="0" w:name="_GoBack"/>
      <w:bookmarkEnd w:id="0"/>
      <w:r w:rsidRPr="000627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онтракта, заключаемого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метода Нормирования, а именно:</w:t>
      </w:r>
    </w:p>
    <w:p w:rsidR="00114CB1" w:rsidRPr="000627D1" w:rsidRDefault="00114CB1" w:rsidP="00114CB1">
      <w:pPr>
        <w:tabs>
          <w:tab w:val="left" w:pos="2685"/>
        </w:tabs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27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учреждениями, и государственными унитарными предприятиями отдельным видам товаров, работ и услуг (в том числе предельных цен товаров, работ, услуг), а так же в соответствии с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с изменениями и дополнениями.</w:t>
      </w:r>
    </w:p>
    <w:p w:rsidR="00114CB1" w:rsidRDefault="00114CB1" w:rsidP="00114CB1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7F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основании установленных предельных цен был произведен расчет начальной (максимальной) цены контракта:</w:t>
      </w:r>
    </w:p>
    <w:p w:rsidR="00114CB1" w:rsidRDefault="00114CB1" w:rsidP="00114CB1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4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1722"/>
        <w:gridCol w:w="3098"/>
        <w:gridCol w:w="2480"/>
        <w:gridCol w:w="1701"/>
        <w:gridCol w:w="1205"/>
        <w:gridCol w:w="1317"/>
        <w:gridCol w:w="1819"/>
        <w:gridCol w:w="996"/>
      </w:tblGrid>
      <w:tr w:rsidR="00114CB1" w:rsidRPr="001C5BA2" w:rsidTr="00997644">
        <w:trPr>
          <w:trHeight w:val="1004"/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114CB1" w:rsidRPr="001C5BA2" w:rsidRDefault="00114CB1" w:rsidP="006777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BA2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1722" w:type="dxa"/>
            <w:shd w:val="clear" w:color="auto" w:fill="auto"/>
            <w:vAlign w:val="center"/>
          </w:tcPr>
          <w:p w:rsidR="00114CB1" w:rsidRPr="001C5BA2" w:rsidRDefault="00114CB1" w:rsidP="006777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BA2">
              <w:rPr>
                <w:rFonts w:ascii="Times New Roman" w:hAnsi="Times New Roman" w:cs="Times New Roman"/>
                <w:b/>
                <w:bCs/>
              </w:rPr>
              <w:t>Код по ОКПД2</w:t>
            </w:r>
          </w:p>
        </w:tc>
        <w:tc>
          <w:tcPr>
            <w:tcW w:w="3098" w:type="dxa"/>
            <w:shd w:val="clear" w:color="auto" w:fill="auto"/>
            <w:vAlign w:val="center"/>
          </w:tcPr>
          <w:p w:rsidR="00114CB1" w:rsidRPr="001C5BA2" w:rsidRDefault="00114CB1" w:rsidP="0067777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BA2">
              <w:rPr>
                <w:rFonts w:ascii="Times New Roman" w:hAnsi="Times New Roman" w:cs="Times New Roman"/>
                <w:b/>
                <w:bCs/>
              </w:rPr>
              <w:t>Наименование отдельного вида товаров, работ, услуг</w:t>
            </w:r>
          </w:p>
        </w:tc>
        <w:tc>
          <w:tcPr>
            <w:tcW w:w="2480" w:type="dxa"/>
            <w:shd w:val="clear" w:color="auto" w:fill="auto"/>
            <w:noWrap/>
            <w:vAlign w:val="center"/>
          </w:tcPr>
          <w:p w:rsidR="00114CB1" w:rsidRPr="001C5BA2" w:rsidRDefault="00114CB1" w:rsidP="00677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14E2D">
              <w:rPr>
                <w:rFonts w:ascii="Times New Roman" w:eastAsia="Times New Roman" w:hAnsi="Times New Roman" w:cs="Times New Roman"/>
                <w:lang w:eastAsia="ru-RU"/>
              </w:rPr>
              <w:t>Код конечного каталожного наименования (ККН)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14CB1" w:rsidRPr="001C5BA2" w:rsidRDefault="00114CB1" w:rsidP="00677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BA2">
              <w:rPr>
                <w:rFonts w:ascii="Times New Roman" w:eastAsia="Times New Roman" w:hAnsi="Times New Roman" w:cs="Times New Roman"/>
                <w:lang w:eastAsia="ru-RU"/>
              </w:rPr>
              <w:t>Код по ОКЕИ</w:t>
            </w:r>
          </w:p>
        </w:tc>
        <w:tc>
          <w:tcPr>
            <w:tcW w:w="1205" w:type="dxa"/>
            <w:shd w:val="clear" w:color="auto" w:fill="auto"/>
            <w:vAlign w:val="center"/>
          </w:tcPr>
          <w:p w:rsidR="00114CB1" w:rsidRPr="001C5BA2" w:rsidRDefault="00114CB1" w:rsidP="00677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BA2">
              <w:rPr>
                <w:rFonts w:ascii="Times New Roman" w:eastAsia="Times New Roman" w:hAnsi="Times New Roman" w:cs="Times New Roman"/>
                <w:lang w:eastAsia="ru-RU"/>
              </w:rPr>
              <w:t>Ед. изм.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114CB1" w:rsidRPr="001C5BA2" w:rsidRDefault="00114CB1" w:rsidP="00677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BA2">
              <w:rPr>
                <w:rFonts w:ascii="Times New Roman" w:eastAsia="Times New Roman" w:hAnsi="Times New Roman" w:cs="Times New Roman"/>
                <w:lang w:eastAsia="ru-RU"/>
              </w:rPr>
              <w:t>Количество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114CB1" w:rsidRPr="001C5BA2" w:rsidRDefault="00114CB1" w:rsidP="00677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BA2">
              <w:rPr>
                <w:rFonts w:ascii="Times New Roman" w:eastAsia="Times New Roman" w:hAnsi="Times New Roman" w:cs="Times New Roman"/>
                <w:lang w:eastAsia="ru-RU"/>
              </w:rPr>
              <w:t>Предельная цена (руб. с НДС)</w:t>
            </w:r>
          </w:p>
        </w:tc>
        <w:tc>
          <w:tcPr>
            <w:tcW w:w="996" w:type="dxa"/>
            <w:vAlign w:val="center"/>
          </w:tcPr>
          <w:p w:rsidR="00114CB1" w:rsidRPr="001C5BA2" w:rsidRDefault="00114CB1" w:rsidP="006777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5BA2">
              <w:rPr>
                <w:rFonts w:ascii="Times New Roman" w:eastAsia="Times New Roman" w:hAnsi="Times New Roman" w:cs="Times New Roman"/>
                <w:lang w:eastAsia="ru-RU"/>
              </w:rPr>
              <w:t>НМЦК</w:t>
            </w:r>
          </w:p>
        </w:tc>
      </w:tr>
      <w:tr w:rsidR="00997644" w:rsidRPr="00997644" w:rsidTr="00997644">
        <w:trPr>
          <w:trHeight w:val="912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:rsidR="00997644" w:rsidRPr="00997644" w:rsidRDefault="00997644" w:rsidP="009976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976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97644" w:rsidRPr="00997644" w:rsidRDefault="00997644" w:rsidP="009976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22" w:type="dxa"/>
            <w:shd w:val="clear" w:color="auto" w:fill="auto"/>
            <w:vAlign w:val="center"/>
            <w:hideMark/>
          </w:tcPr>
          <w:p w:rsidR="00997644" w:rsidRPr="00997644" w:rsidRDefault="00997644" w:rsidP="009976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644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27.51.25.110</w:t>
            </w:r>
          </w:p>
        </w:tc>
        <w:tc>
          <w:tcPr>
            <w:tcW w:w="3098" w:type="dxa"/>
            <w:shd w:val="clear" w:color="auto" w:fill="auto"/>
            <w:vAlign w:val="center"/>
            <w:hideMark/>
          </w:tcPr>
          <w:p w:rsidR="00997644" w:rsidRPr="00997644" w:rsidRDefault="00997644" w:rsidP="00997644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76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Водонагреватель бытовой</w:t>
            </w:r>
          </w:p>
        </w:tc>
        <w:tc>
          <w:tcPr>
            <w:tcW w:w="2480" w:type="dxa"/>
            <w:shd w:val="clear" w:color="auto" w:fill="auto"/>
            <w:noWrap/>
            <w:vAlign w:val="center"/>
            <w:hideMark/>
          </w:tcPr>
          <w:p w:rsidR="00997644" w:rsidRPr="00997644" w:rsidRDefault="00997644" w:rsidP="00997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ru-RU"/>
              </w:rPr>
            </w:pPr>
            <w:r w:rsidRPr="00997644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27.51.25.110-001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97644" w:rsidRPr="00997644" w:rsidRDefault="00997644" w:rsidP="00997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796</w:t>
            </w:r>
          </w:p>
        </w:tc>
        <w:tc>
          <w:tcPr>
            <w:tcW w:w="1205" w:type="dxa"/>
            <w:shd w:val="clear" w:color="auto" w:fill="auto"/>
            <w:vAlign w:val="center"/>
            <w:hideMark/>
          </w:tcPr>
          <w:p w:rsidR="00997644" w:rsidRPr="00997644" w:rsidRDefault="00997644" w:rsidP="00997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76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Штука</w:t>
            </w:r>
          </w:p>
        </w:tc>
        <w:tc>
          <w:tcPr>
            <w:tcW w:w="1317" w:type="dxa"/>
            <w:shd w:val="clear" w:color="auto" w:fill="auto"/>
            <w:vAlign w:val="center"/>
          </w:tcPr>
          <w:p w:rsidR="00997644" w:rsidRPr="00997644" w:rsidRDefault="00997644" w:rsidP="00997644">
            <w:pPr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997644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1819" w:type="dxa"/>
            <w:shd w:val="clear" w:color="auto" w:fill="auto"/>
            <w:vAlign w:val="center"/>
            <w:hideMark/>
          </w:tcPr>
          <w:p w:rsidR="00997644" w:rsidRPr="00997644" w:rsidRDefault="004F61F7" w:rsidP="004F61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6363</w:t>
            </w:r>
            <w:r w:rsidR="00997644" w:rsidRPr="0099764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996" w:type="dxa"/>
            <w:vAlign w:val="center"/>
          </w:tcPr>
          <w:p w:rsidR="00997644" w:rsidRPr="00997644" w:rsidRDefault="004F61F7" w:rsidP="004F61F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6363</w:t>
            </w:r>
            <w:r w:rsidR="00997644" w:rsidRPr="0099764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114CB1" w:rsidRPr="001C5BA2" w:rsidTr="00997644">
        <w:trPr>
          <w:trHeight w:val="415"/>
          <w:jc w:val="center"/>
        </w:trPr>
        <w:tc>
          <w:tcPr>
            <w:tcW w:w="13904" w:type="dxa"/>
            <w:gridSpan w:val="8"/>
            <w:shd w:val="clear" w:color="auto" w:fill="auto"/>
            <w:vAlign w:val="center"/>
          </w:tcPr>
          <w:p w:rsidR="00114CB1" w:rsidRPr="006B35B0" w:rsidRDefault="00114CB1" w:rsidP="0067777D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B35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результате применения нормативного метода начальная (максимальная) цена </w:t>
            </w:r>
            <w:proofErr w:type="gramStart"/>
            <w:r w:rsidRPr="006B35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контракта  составляет</w:t>
            </w:r>
            <w:proofErr w:type="gramEnd"/>
            <w:r w:rsidRPr="006B35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996" w:type="dxa"/>
            <w:vAlign w:val="center"/>
          </w:tcPr>
          <w:p w:rsidR="00114CB1" w:rsidRPr="00997644" w:rsidRDefault="004F61F7" w:rsidP="004F61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6363</w:t>
            </w:r>
            <w:r w:rsidR="00997644" w:rsidRPr="0099764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114CB1" w:rsidRDefault="00114CB1" w:rsidP="00114CB1"/>
    <w:p w:rsidR="00DA0105" w:rsidRPr="00FF23C2" w:rsidRDefault="00997644" w:rsidP="00DA01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Юрисконсульт</w:t>
      </w:r>
      <w:r w:rsidR="00DA0105">
        <w:rPr>
          <w:rFonts w:ascii="Times New Roman" w:eastAsia="Times New Roman" w:hAnsi="Times New Roman" w:cs="Times New Roman"/>
          <w:sz w:val="24"/>
          <w:szCs w:val="24"/>
        </w:rPr>
        <w:tab/>
      </w:r>
      <w:r w:rsidR="00DA0105">
        <w:rPr>
          <w:rFonts w:ascii="Times New Roman" w:eastAsia="Times New Roman" w:hAnsi="Times New Roman" w:cs="Times New Roman"/>
          <w:sz w:val="24"/>
          <w:szCs w:val="24"/>
        </w:rPr>
        <w:tab/>
      </w:r>
      <w:r w:rsidR="00DA0105">
        <w:rPr>
          <w:rFonts w:ascii="Times New Roman" w:eastAsia="Times New Roman" w:hAnsi="Times New Roman" w:cs="Times New Roman"/>
          <w:sz w:val="24"/>
          <w:szCs w:val="24"/>
        </w:rPr>
        <w:tab/>
      </w:r>
      <w:r w:rsidR="00DA0105">
        <w:rPr>
          <w:rFonts w:ascii="Times New Roman" w:eastAsia="Times New Roman" w:hAnsi="Times New Roman" w:cs="Times New Roman"/>
          <w:sz w:val="24"/>
          <w:szCs w:val="24"/>
        </w:rPr>
        <w:tab/>
      </w:r>
      <w:r w:rsidR="00DA0105">
        <w:rPr>
          <w:rFonts w:ascii="Times New Roman" w:eastAsia="Times New Roman" w:hAnsi="Times New Roman" w:cs="Times New Roman"/>
          <w:sz w:val="24"/>
          <w:szCs w:val="24"/>
        </w:rPr>
        <w:tab/>
        <w:t xml:space="preserve">______________ </w:t>
      </w:r>
      <w:r w:rsidR="00DA0105">
        <w:rPr>
          <w:rFonts w:ascii="Times New Roman" w:eastAsia="Times New Roman" w:hAnsi="Times New Roman" w:cs="Times New Roman"/>
          <w:sz w:val="24"/>
          <w:szCs w:val="24"/>
        </w:rPr>
        <w:tab/>
      </w:r>
      <w:r w:rsidR="00DA0105">
        <w:rPr>
          <w:rFonts w:ascii="Times New Roman" w:eastAsia="Times New Roman" w:hAnsi="Times New Roman" w:cs="Times New Roman"/>
          <w:sz w:val="24"/>
          <w:szCs w:val="24"/>
        </w:rPr>
        <w:tab/>
      </w:r>
      <w:r w:rsidR="00DA0105">
        <w:rPr>
          <w:rFonts w:ascii="Times New Roman" w:eastAsia="Times New Roman" w:hAnsi="Times New Roman" w:cs="Times New Roman"/>
          <w:sz w:val="24"/>
          <w:szCs w:val="24"/>
        </w:rPr>
        <w:tab/>
      </w:r>
      <w:r w:rsidR="00DA0105">
        <w:rPr>
          <w:rFonts w:ascii="Times New Roman" w:eastAsia="Times New Roman" w:hAnsi="Times New Roman" w:cs="Times New Roman"/>
          <w:sz w:val="24"/>
          <w:szCs w:val="24"/>
        </w:rPr>
        <w:tab/>
      </w:r>
      <w:r w:rsidR="00DA0105">
        <w:rPr>
          <w:rFonts w:ascii="Times New Roman" w:eastAsia="Times New Roman" w:hAnsi="Times New Roman" w:cs="Times New Roman"/>
          <w:sz w:val="24"/>
          <w:szCs w:val="24"/>
        </w:rPr>
        <w:tab/>
      </w:r>
      <w:r w:rsidR="00DA0105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В.В.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Зинкевич</w:t>
      </w:r>
      <w:proofErr w:type="spellEnd"/>
    </w:p>
    <w:p w:rsidR="00E215AF" w:rsidRDefault="00E215AF"/>
    <w:sectPr w:rsidR="00E215AF" w:rsidSect="00C84D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F70" w:rsidRDefault="00151F70">
      <w:pPr>
        <w:spacing w:after="0" w:line="240" w:lineRule="auto"/>
      </w:pPr>
      <w:r>
        <w:separator/>
      </w:r>
    </w:p>
  </w:endnote>
  <w:endnote w:type="continuationSeparator" w:id="0">
    <w:p w:rsidR="00151F70" w:rsidRDefault="00151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AED" w:rsidRDefault="004F61F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AED" w:rsidRDefault="004F61F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AED" w:rsidRDefault="004F61F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F70" w:rsidRDefault="00151F70">
      <w:pPr>
        <w:spacing w:after="0" w:line="240" w:lineRule="auto"/>
      </w:pPr>
      <w:r>
        <w:separator/>
      </w:r>
    </w:p>
  </w:footnote>
  <w:footnote w:type="continuationSeparator" w:id="0">
    <w:p w:rsidR="00151F70" w:rsidRDefault="00151F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AED" w:rsidRDefault="004F61F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AED" w:rsidRDefault="004F61F7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AED" w:rsidRDefault="004F61F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D48"/>
    <w:rsid w:val="000D669F"/>
    <w:rsid w:val="00100106"/>
    <w:rsid w:val="00114CB1"/>
    <w:rsid w:val="00126C38"/>
    <w:rsid w:val="00151F70"/>
    <w:rsid w:val="00265D48"/>
    <w:rsid w:val="00282BFF"/>
    <w:rsid w:val="004363EB"/>
    <w:rsid w:val="004F61F7"/>
    <w:rsid w:val="00523F6F"/>
    <w:rsid w:val="005259E9"/>
    <w:rsid w:val="00560890"/>
    <w:rsid w:val="005D672B"/>
    <w:rsid w:val="007274F2"/>
    <w:rsid w:val="007F5C1E"/>
    <w:rsid w:val="00886749"/>
    <w:rsid w:val="00997644"/>
    <w:rsid w:val="00AD1152"/>
    <w:rsid w:val="00B44DD6"/>
    <w:rsid w:val="00BA3E20"/>
    <w:rsid w:val="00BB6A7C"/>
    <w:rsid w:val="00BD08A4"/>
    <w:rsid w:val="00BD6774"/>
    <w:rsid w:val="00C2194E"/>
    <w:rsid w:val="00CA5843"/>
    <w:rsid w:val="00D4725A"/>
    <w:rsid w:val="00D9172A"/>
    <w:rsid w:val="00DA0105"/>
    <w:rsid w:val="00E215AF"/>
    <w:rsid w:val="00E940BE"/>
    <w:rsid w:val="00F600B8"/>
    <w:rsid w:val="00FB527A"/>
    <w:rsid w:val="00FB7488"/>
    <w:rsid w:val="00FE7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651EB1-4DA2-4A71-A0F2-01C4C7920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D4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5D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65D48"/>
  </w:style>
  <w:style w:type="paragraph" w:styleId="a5">
    <w:name w:val="footer"/>
    <w:basedOn w:val="a"/>
    <w:link w:val="a6"/>
    <w:uiPriority w:val="99"/>
    <w:unhideWhenUsed/>
    <w:rsid w:val="00265D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65D48"/>
  </w:style>
  <w:style w:type="paragraph" w:styleId="a7">
    <w:name w:val="Balloon Text"/>
    <w:basedOn w:val="a"/>
    <w:link w:val="a8"/>
    <w:uiPriority w:val="99"/>
    <w:semiHidden/>
    <w:unhideWhenUsed/>
    <w:rsid w:val="007274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274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26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2026-06-09T08:08:00Z</cp:lastPrinted>
  <dcterms:created xsi:type="dcterms:W3CDTF">2026-06-04T13:03:00Z</dcterms:created>
  <dcterms:modified xsi:type="dcterms:W3CDTF">2026-07-16T09:06:00Z</dcterms:modified>
</cp:coreProperties>
</file>