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ind w:right="360" w:hanging="0"/>
        <w:jc w:val="center"/>
        <w:rPr/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Поставка кислорода газообразного  баллонах  по 2,5л   </w:t>
      </w:r>
      <w:r>
        <w:rPr>
          <w:rFonts w:ascii="Times New Roman" w:hAnsi="Times New Roman"/>
          <w:b/>
          <w:bCs/>
          <w:i/>
          <w:sz w:val="24"/>
          <w:szCs w:val="24"/>
        </w:rPr>
        <w:t>на второе полугодие</w:t>
      </w:r>
    </w:p>
    <w:p>
      <w:pPr>
        <w:pStyle w:val="Normal"/>
        <w:widowControl w:val="false"/>
        <w:bidi w:val="0"/>
        <w:ind w:right="360" w:hanging="0"/>
        <w:jc w:val="center"/>
        <w:rPr>
          <w:color w:val="C9211E"/>
        </w:rPr>
      </w:pPr>
      <w:r>
        <w:rPr>
          <w:color w:val="C9211E"/>
        </w:rPr>
      </w:r>
    </w:p>
    <w:p>
      <w:pPr>
        <w:pStyle w:val="Normal"/>
        <w:widowControl w:val="false"/>
        <w:bidi w:val="0"/>
        <w:ind w:right="36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10431" w:type="dxa"/>
        <w:jc w:val="left"/>
        <w:tblInd w:w="-113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24"/>
        <w:gridCol w:w="1916"/>
        <w:gridCol w:w="1330"/>
        <w:gridCol w:w="5514"/>
        <w:gridCol w:w="565"/>
        <w:gridCol w:w="681"/>
      </w:tblGrid>
      <w:tr>
        <w:trPr>
          <w:tblHeader w:val="true"/>
          <w:trHeight w:val="2255" w:hRule="atLeast"/>
          <w:cantSplit w:val="true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№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Calibri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Calibri" w:ascii="Times New Roman" w:hAnsi="Times New Roman"/>
                <w:sz w:val="20"/>
                <w:szCs w:val="20"/>
              </w:rPr>
              <w:t>Наименование товара,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товарный знак (его словесное обозначение (при наличии)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ОКПД2/КТРУ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при наличии)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Назначение, конкретные показатели, функциональные, технические и качественные характеристики (потребительские свойства) товара, соответствующие значениям, установленным документацией об открытом аукционе в электронной форме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Ед.</w:t>
            </w:r>
          </w:p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изм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Кол-во</w:t>
            </w:r>
          </w:p>
        </w:tc>
      </w:tr>
      <w:tr>
        <w:trPr>
          <w:tblHeader w:val="true"/>
          <w:trHeight w:val="260" w:hRule="atLeast"/>
          <w:cantSplit w:val="true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1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3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5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6</w:t>
            </w:r>
          </w:p>
        </w:tc>
      </w:tr>
      <w:tr>
        <w:trPr>
          <w:tblHeader w:val="true"/>
          <w:trHeight w:val="260" w:hRule="atLeast"/>
          <w:cantSplit w:val="true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3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Times New Roman" w:hAnsi="Times New Roman"/>
                <w:b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Кислород газообразный медицинский  по ФСП, в</w:t>
            </w: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оборотной таре -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баллонах гидравлического объема 2.5 л, 0,52м</w:t>
            </w:r>
            <w:r>
              <w:rPr>
                <w:rFonts w:eastAsia="NSimSun" w:cs="Arial" w:ascii="Times New Roman" w:hAnsi="Times New Roman"/>
                <w:b/>
                <w:sz w:val="18"/>
                <w:szCs w:val="18"/>
              </w:rPr>
              <w:t>³,200 кгс/см²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21.20.23.190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Кислород газообразный в баллонах. Требование к  оборотной таре - баллон гидравлической ёмкостью  2.5 литра,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бесшовный и изготовлен из алюминиевого сплава АА6061;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разъем для заполнения баллона оборудованный клапаном типа “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NRV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”;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left="0" w:hanging="36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- выходные соединения: штуцер 6 мм и быстроразъемное соединение стандарта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DIN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13260;</w:t>
            </w:r>
          </w:p>
          <w:p>
            <w:pPr>
              <w:pStyle w:val="Normal"/>
              <w:widowControl w:val="false"/>
              <w:suppressAutoHyphens w:val="false"/>
              <w:bidi w:val="0"/>
              <w:snapToGrid w:val="false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- клапан остаточного давления для предотвращения загрязнения внутренней полости баллона атмосферным воздухом;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м</w:t>
            </w:r>
            <w:r>
              <w:rPr>
                <w:rFonts w:eastAsia="NSimSun" w:cs="Calibri" w:ascii="Times New Roman" w:hAnsi="Times New Roman"/>
                <w:i/>
                <w:sz w:val="20"/>
                <w:szCs w:val="20"/>
              </w:rPr>
              <w:t>³</w:t>
            </w: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/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  <w:t>41,6</w:t>
            </w:r>
          </w:p>
        </w:tc>
      </w:tr>
      <w:tr>
        <w:trPr>
          <w:tblHeader w:val="true"/>
          <w:trHeight w:val="260" w:hRule="atLeast"/>
          <w:cantSplit w:val="true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1916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330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55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Общая стоимость контракта: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</w:r>
          </w:p>
        </w:tc>
        <w:tc>
          <w:tcPr>
            <w:tcW w:w="6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contextualSpacing/>
              <w:jc w:val="center"/>
              <w:rPr>
                <w:rFonts w:ascii="Times New Roman" w:hAnsi="Times New Roman" w:cs="Calibri"/>
                <w:i/>
                <w:i/>
                <w:sz w:val="20"/>
                <w:szCs w:val="20"/>
              </w:rPr>
            </w:pPr>
            <w:r>
              <w:rPr>
                <w:rFonts w:cs="Calibri" w:ascii="Times New Roman" w:hAnsi="Times New Roman"/>
                <w:i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ТЕХНИЧЕСКОЕ ЗАДАНИЕ </w:t>
      </w:r>
    </w:p>
    <w:tbl>
      <w:tblPr>
        <w:tblW w:w="10431" w:type="dxa"/>
        <w:jc w:val="left"/>
        <w:tblInd w:w="-8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"/>
        <w:gridCol w:w="2492"/>
        <w:gridCol w:w="7443"/>
      </w:tblGrid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Наименование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i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Требования Заказчика</w:t>
            </w:r>
          </w:p>
        </w:tc>
      </w:tr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поставки товара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 xml:space="preserve">196653, Российская Федерация, Санкт-Петербург, г. Колпино, </w:t>
            </w:r>
            <w:r>
              <w:rPr>
                <w:rStyle w:val="Style14"/>
                <w:rFonts w:eastAsia="Calibri" w:ascii="Times New Roman" w:hAnsi="Times New Roman"/>
                <w:bCs/>
                <w:color w:val="000000"/>
                <w:sz w:val="20"/>
                <w:szCs w:val="20"/>
                <w:shd w:fill="auto" w:val="clear"/>
              </w:rPr>
              <w:t>ул.</w:t>
            </w:r>
            <w:r>
              <w:rPr>
                <w:rStyle w:val="Style14"/>
                <w:rFonts w:eastAsia="Calibri" w:ascii="Times New Roman" w:hAnsi="Times New Roman"/>
                <w:bCs/>
                <w:color w:val="000000"/>
                <w:sz w:val="20"/>
                <w:szCs w:val="20"/>
                <w:shd w:fill="auto" w:val="clear"/>
                <w:lang w:val="en-US"/>
              </w:rPr>
              <w:t xml:space="preserve"> П</w:t>
            </w:r>
            <w:r>
              <w:rPr>
                <w:rStyle w:val="Style14"/>
                <w:rFonts w:eastAsia="Calibri" w:ascii="Times New Roman" w:hAnsi="Times New Roman"/>
                <w:bCs/>
                <w:color w:val="000000"/>
                <w:sz w:val="20"/>
                <w:szCs w:val="20"/>
                <w:shd w:fill="auto" w:val="clear"/>
                <w:lang w:val="ru-RU"/>
              </w:rPr>
              <w:t>ав</w:t>
            </w:r>
            <w:r>
              <w:rPr>
                <w:rStyle w:val="Style14"/>
                <w:rFonts w:eastAsia="Calibri" w:ascii="Times New Roman" w:hAnsi="Times New Roman"/>
                <w:bCs/>
                <w:color w:val="000000"/>
                <w:sz w:val="20"/>
                <w:szCs w:val="20"/>
                <w:shd w:fill="auto" w:val="clear"/>
                <w:lang w:val="en-US"/>
              </w:rPr>
              <w:t>л</w:t>
            </w:r>
            <w:r>
              <w:rPr>
                <w:rStyle w:val="Style14"/>
                <w:rFonts w:eastAsia="Calibri" w:ascii="Times New Roman" w:hAnsi="Times New Roman"/>
                <w:bCs/>
                <w:color w:val="000000"/>
                <w:sz w:val="20"/>
                <w:szCs w:val="20"/>
                <w:shd w:fill="auto" w:val="clear"/>
                <w:lang w:val="ru-RU"/>
              </w:rPr>
              <w:t xml:space="preserve">овская д.16,строение 2 </w:t>
            </w:r>
          </w:p>
        </w:tc>
      </w:tr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1"/>
              <w:widowControl w:val="false"/>
              <w:shd w:val="clear" w:fill="FFFFFF"/>
              <w:bidi w:val="0"/>
              <w:spacing w:before="0" w:after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1"/>
              <w:widowControl w:val="false"/>
              <w:shd w:val="clear" w:fill="FFFFFF"/>
              <w:bidi w:val="0"/>
              <w:spacing w:before="0" w:after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Сроки поставки товара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NSimSun" w:cs="Arial" w:ascii="Times New Roman" w:hAnsi="Times New Roman"/>
                <w:bCs/>
                <w:kern w:val="2"/>
                <w:sz w:val="20"/>
                <w:szCs w:val="20"/>
                <w:lang w:eastAsia="zh-CN" w:bidi="hi-IN"/>
              </w:rPr>
              <w:t xml:space="preserve">Начало оказания услуг: </w:t>
            </w:r>
            <w:r>
              <w:rPr>
                <w:rFonts w:eastAsia="NSimSun" w:cs="Arial" w:ascii="Times New Roman" w:hAnsi="Times New Roman"/>
                <w:bCs/>
                <w:kern w:val="2"/>
                <w:sz w:val="20"/>
                <w:szCs w:val="20"/>
                <w:lang w:val="ru-RU" w:eastAsia="zh-CN" w:bidi="hi-IN"/>
              </w:rPr>
              <w:t>с момента заключения договора</w:t>
            </w:r>
          </w:p>
          <w:p>
            <w:pPr>
              <w:pStyle w:val="Normal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NSimSun" w:cs="Arial"/>
                <w:bCs/>
                <w:kern w:val="2"/>
                <w:sz w:val="20"/>
                <w:szCs w:val="20"/>
                <w:lang w:eastAsia="zh-CN" w:bidi="hi-IN"/>
              </w:rPr>
            </w:pPr>
            <w:r>
              <w:rPr>
                <w:rFonts w:eastAsia="NSimSun" w:cs="Arial" w:ascii="Times New Roman" w:hAnsi="Times New Roman"/>
                <w:bCs/>
                <w:kern w:val="2"/>
                <w:sz w:val="20"/>
                <w:szCs w:val="20"/>
                <w:lang w:eastAsia="zh-CN" w:bidi="hi-IN"/>
              </w:rPr>
              <w:t>Окончание оказания услуг: 31.12.2026 г</w:t>
            </w:r>
          </w:p>
          <w:p>
            <w:pPr>
              <w:pStyle w:val="ConsPlusNormal"/>
              <w:widowControl w:val="false"/>
              <w:bidi w:val="0"/>
              <w:ind w:left="0" w:right="0" w:hanging="0"/>
              <w:jc w:val="both"/>
              <w:rPr/>
            </w:pPr>
            <w:r>
              <w:rPr>
                <w:rStyle w:val="Style14"/>
                <w:rFonts w:eastAsia="Calibri"/>
                <w:bCs/>
                <w:sz w:val="20"/>
                <w:szCs w:val="20"/>
                <w:shd w:fill="auto" w:val="clear"/>
              </w:rPr>
              <w:t xml:space="preserve">       </w:t>
            </w:r>
            <w:r>
              <w:rPr>
                <w:rStyle w:val="Style14"/>
                <w:rFonts w:eastAsia="Calibri"/>
                <w:bCs/>
                <w:sz w:val="20"/>
                <w:szCs w:val="20"/>
                <w:shd w:fill="auto" w:val="clear"/>
              </w:rPr>
              <w:t xml:space="preserve">Поставка Товара осуществляется Поставщиком по рабочим дням с 09.00 до 17.00 по московскому времени </w:t>
            </w:r>
            <w:r>
              <w:rPr>
                <w:rStyle w:val="Style14"/>
                <w:rFonts w:eastAsia="Calibri"/>
                <w:sz w:val="20"/>
                <w:szCs w:val="20"/>
                <w:shd w:fill="auto" w:val="clear"/>
              </w:rPr>
              <w:t>партиями</w:t>
            </w:r>
            <w:r>
              <w:rPr>
                <w:rStyle w:val="Style14"/>
                <w:rFonts w:eastAsia="Calibri"/>
                <w:b/>
                <w:bCs/>
                <w:sz w:val="20"/>
                <w:szCs w:val="20"/>
                <w:shd w:fill="auto" w:val="clear"/>
              </w:rPr>
              <w:t xml:space="preserve"> </w:t>
            </w:r>
            <w:r>
              <w:rPr>
                <w:rStyle w:val="Style14"/>
                <w:rFonts w:eastAsia="Calibri"/>
                <w:bCs/>
                <w:sz w:val="20"/>
                <w:szCs w:val="20"/>
                <w:shd w:fill="auto" w:val="clear"/>
              </w:rPr>
              <w:t>в объеме, определенном з</w:t>
            </w:r>
            <w:bookmarkStart w:id="0" w:name="_Hlk72176044"/>
            <w:r>
              <w:rPr>
                <w:rStyle w:val="Style14"/>
                <w:rFonts w:eastAsia="Calibri"/>
                <w:bCs/>
                <w:sz w:val="20"/>
                <w:szCs w:val="20"/>
                <w:shd w:fill="auto" w:val="clear"/>
              </w:rPr>
              <w:t xml:space="preserve">аявкой Заказчика </w:t>
            </w:r>
            <w:bookmarkEnd w:id="0"/>
            <w:r>
              <w:rPr>
                <w:rStyle w:val="Style14"/>
                <w:rFonts w:eastAsia="Calibri"/>
                <w:bCs/>
                <w:sz w:val="20"/>
                <w:szCs w:val="20"/>
                <w:shd w:fill="auto" w:val="clear"/>
              </w:rPr>
              <w:t>в течение 2</w:t>
            </w:r>
            <w:r>
              <w:rPr>
                <w:rStyle w:val="Style14"/>
                <w:rFonts w:eastAsia="Calibri"/>
                <w:b/>
                <w:bCs/>
                <w:sz w:val="20"/>
                <w:szCs w:val="20"/>
                <w:shd w:fill="auto" w:val="clear"/>
              </w:rPr>
              <w:t xml:space="preserve"> (двух) дней</w:t>
            </w:r>
            <w:r>
              <w:rPr>
                <w:rStyle w:val="Style14"/>
                <w:rFonts w:eastAsia="Calibri"/>
                <w:bCs/>
                <w:sz w:val="20"/>
                <w:szCs w:val="20"/>
                <w:shd w:fill="auto" w:val="clear"/>
              </w:rPr>
              <w:t xml:space="preserve"> с момента направления заявки. Погрузо-разгрузочные работы, осуществляются силами и за счет средств Поставщика.</w:t>
            </w:r>
          </w:p>
          <w:p>
            <w:pPr>
              <w:pStyle w:val="ConsPlusNormal"/>
              <w:widowControl w:val="false"/>
              <w:bidi w:val="0"/>
              <w:ind w:left="0" w:right="0" w:hanging="0"/>
              <w:jc w:val="both"/>
              <w:rPr/>
            </w:pPr>
            <w:r>
              <w:rPr>
                <w:rStyle w:val="Style14"/>
                <w:rFonts w:eastAsia="Calibri"/>
                <w:bCs/>
                <w:color w:val="auto"/>
                <w:sz w:val="20"/>
                <w:szCs w:val="20"/>
              </w:rPr>
              <w:t xml:space="preserve">    </w:t>
            </w:r>
            <w:r>
              <w:rPr>
                <w:rStyle w:val="Style14"/>
                <w:rFonts w:eastAsia="Calibri"/>
                <w:bCs/>
                <w:color w:val="auto"/>
                <w:sz w:val="20"/>
                <w:szCs w:val="20"/>
              </w:rPr>
              <w:t xml:space="preserve">Заявка направляется Заказчиком Поставщику в письменном виде любым доступным способом связи, обеспечивающим возможность подтверждения получения заявки, по  адресу Поставщика, указанному в </w:t>
            </w:r>
            <w:r>
              <w:rPr>
                <w:rStyle w:val="Style14"/>
                <w:rFonts w:eastAsia="Calibri"/>
                <w:bCs/>
                <w:color w:val="000000"/>
                <w:sz w:val="20"/>
                <w:szCs w:val="20"/>
                <w:shd w:fill="FFFFFF" w:val="clear"/>
              </w:rPr>
              <w:t xml:space="preserve"> </w:t>
            </w:r>
            <w:r>
              <w:rPr>
                <w:rStyle w:val="Style14"/>
                <w:rFonts w:eastAsia="Calibri"/>
                <w:bCs/>
                <w:color w:val="auto"/>
                <w:sz w:val="20"/>
                <w:szCs w:val="20"/>
              </w:rPr>
              <w:t>Контракте. В заявке указывается объем поставки и адрес доставки.</w:t>
            </w:r>
          </w:p>
        </w:tc>
      </w:tr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left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left"/>
              <w:outlineLvl w:val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Документы, подтверждающие качество, технические, функциональные и эксплуатационные характеристики товаров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Требования к качеству товара устанавливаются в соответствии со статьей 469 Гражданского кодекса РФ. Качество поставляемого товара должно соответствовать ГОСТам, ТУ, действующим на момент поставки, и подтверждаться, одновременно с поставкой каждой партии товара, предоставлением надлежащим образом оформленными сопроводительными документами, подтверждающими качество и безопасность товара: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66" w:right="0" w:hanging="32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сертификат/декларация соответствия  установленного образца (если товар относится к перечню товаров, подлежащих обязательной сертификации/декларированию);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66" w:right="0" w:hanging="32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действующее регистрационное удостоверение установленного образца с приложением (если товар должен быть зарегистрирован в установленном Правительством РФ порядке).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66" w:right="0" w:hanging="32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иные документы, в соответствии с действующим законодательством РФ.Требования к качеству товара устанавливаются на основание решения о включении фармацевтической субстанции (кислорода газообразного медицинского) в Государственный реестр лекарственных средств –ФСП. Обновление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342A06"/>
                <w:spacing w:val="0"/>
                <w:sz w:val="18"/>
                <w:szCs w:val="18"/>
              </w:rPr>
              <w:t>27.06.2025</w:t>
            </w:r>
            <w:r>
              <w:rPr/>
              <w:t xml:space="preserve">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66" w:right="0" w:hanging="32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Качество поставляемой продукции должно соответствовать требованиям фармакопейной статьи предприятия-производителя, действующим на момент поставки, и подтверждаться, одновременно с поставкой каждой партии продукции, предоставлением надлежащим образом оформленными сопроводительными документами, подтверждающими качество и безопасность продукции (сертификат о соответствии, </w:t>
            </w: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 xml:space="preserve">регистрационное удостоверение,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паспорт). </w:t>
            </w:r>
          </w:p>
        </w:tc>
      </w:tr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Требования к качеству товара  установлены нормативными документами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1. Копии сертификатов соответствия с приложением и/или декларации о соответствии (при наличии), выданные органом по сертификации Госстандарта России или иным уполномоченным органом. 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2. Копии действующих регистрационных удостоверений (при наличии) с приложением, выданные Федеральной службой по надзору в сфере здравоохранения.</w:t>
            </w:r>
          </w:p>
          <w:p>
            <w:pPr>
              <w:pStyle w:val="Normal"/>
              <w:widowControl w:val="false"/>
              <w:bidi w:val="0"/>
              <w:ind w:left="0" w:right="0" w:firstLine="540"/>
              <w:jc w:val="both"/>
              <w:rPr/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Требование установлено  в соответствии с  </w:t>
            </w:r>
            <w:hyperlink r:id="rId2">
              <w:r>
                <w:rPr>
                  <w:rStyle w:val="Style"/>
                  <w:rFonts w:eastAsia="Times New Roman" w:ascii="Times New Roman" w:hAnsi="Times New Roman"/>
                  <w:sz w:val="20"/>
                  <w:szCs w:val="20"/>
                </w:rPr>
                <w:t>частью 4 статьи 38</w:t>
              </w:r>
            </w:hyperlink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 Федерального закона от 21.11.2011 N 323 ФЗ "Об основах охраны здоровья граждан в Российской Федерации" (опубликовано "Российская газета", N 263, 23.11.2011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 изменениями на 24 июля 2023 года</w:t>
            </w:r>
            <w:r>
              <w:rPr>
                <w:rFonts w:eastAsia="Times New Roman" w:ascii="Times New Roman" w:hAnsi="Times New Roman"/>
                <w:color w:val="000000"/>
                <w:sz w:val="20"/>
                <w:szCs w:val="20"/>
              </w:rPr>
              <w:t xml:space="preserve"> ) и Правилами государственной регистрации медицинских</w:t>
            </w: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 изделий, утвержденными постановлением Правительства РФ от 27.12.2012 г. № 1416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 изменениями на 24 ноября 2020 года</w:t>
            </w: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 .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3. Копии действующих санитарно-эпидемиологических заключений на товар (при наличии), выданные  Федеральной службой по надзору в сфере защиты прав потребителей и благополучия человека или иным уполномоченным органом.</w:t>
            </w:r>
          </w:p>
          <w:p>
            <w:pPr>
              <w:pStyle w:val="Normal"/>
              <w:widowControl w:val="false"/>
              <w:bidi w:val="0"/>
              <w:ind w:left="0" w:right="0" w:firstLine="54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Требование установлено в соответствии приказом Федеральной службы по надзору в сфере защиты прав потребителей и благополучия человека от 19 июля  2007г. № 224  «О санитарно-эпидемиологических  экспертизах, обследованиях, исследованиях, испытаниях и токсикологических, гигиенических и иных видах оценок»  - Приложение №2 «Порядок выдачи санитарно-эпидемиологических заключений» (источник публикации «Бюллетень нормативных актов федеральных органов исполнительной власти», №31, от 30.07.2007 год).</w:t>
            </w:r>
          </w:p>
        </w:tc>
      </w:tr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1"/>
              <w:widowControl w:val="false"/>
              <w:shd w:val="clear" w:fill="FFFFFF"/>
              <w:bidi w:val="0"/>
              <w:spacing w:before="0" w:after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21"/>
              <w:widowControl w:val="false"/>
              <w:shd w:val="clear" w:fill="FFFFFF"/>
              <w:bidi w:val="0"/>
              <w:spacing w:before="0" w:after="0"/>
              <w:jc w:val="left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Требования к гарантийному сроку товара 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1. Поставщик гарантирует соответствие качества поставляемого им товара, стандартам и требованиям, предъявляемым к товару такого рода. При поставке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требованием действующего законодательства.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</w:rPr>
              <w:t xml:space="preserve"> 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2. Обоснованные претензии по качеству товара удовлетворяются путем замены  некачественного товара за счет и силами Поставщика в сроки, определяемые Контрактом или Заказчиком.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3. Возможность срочной замены и срочной допоставки товара при возникновении срочной потребности в товаре. 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4. Срок годности поставленного товара должен соответствовать сроку, указанному в представленных документах и на упаковочной таре. </w:t>
            </w:r>
          </w:p>
        </w:tc>
      </w:tr>
      <w:tr>
        <w:trPr/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left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bidi w:val="0"/>
              <w:ind w:left="0" w:hanging="0"/>
              <w:jc w:val="left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Требование к поставщику (исполнителю, подрядчику)</w:t>
            </w:r>
          </w:p>
        </w:tc>
        <w:tc>
          <w:tcPr>
            <w:tcW w:w="7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действующей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лицензии на право осуществления деятельности по производству лекарственных средств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(для организаций – производителей медицинских газов),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br/>
              <w:t>Т</w:t>
            </w:r>
            <w:r>
              <w:rPr>
                <w:rFonts w:ascii="Times New Roman" w:hAnsi="Times New Roman"/>
                <w:sz w:val="20"/>
                <w:szCs w:val="20"/>
              </w:rPr>
              <w:t>ребование установлено  Федеральным законом № 99ФЗ от 04.05.2011г. № «О лицензировании отдельных видов деятельности» (статья 12, подпункт 16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.) или лицензию на фармацевтическую деятельность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(для  организаций, которые не являются производителями медицинских газов, но осуществляют их поставку),  требование установлено подпунктом  47   статьи 12  Федерального закона  от 04.05.2011г. № 99-ФЗ «О лицензировании отдельных видов деятельности». 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Поставка продукции, являющейся опасным грузом, осуществляется в соответствии с «Правилами перевозки опасных грузов автомобильным транспортом», утвержденными  Постановлением Правительства РФ от 21.12.2020 № 2200. </w:t>
            </w:r>
          </w:p>
        </w:tc>
      </w:tr>
    </w:tbl>
    <w:p>
      <w:pPr>
        <w:pStyle w:val="Normal"/>
        <w:tabs>
          <w:tab w:val="clear" w:pos="709"/>
          <w:tab w:val="left" w:pos="7489" w:leader="none"/>
        </w:tabs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tabs>
          <w:tab w:val="clear" w:pos="709"/>
          <w:tab w:val="left" w:pos="7489" w:leader="none"/>
        </w:tabs>
        <w:bidi w:val="0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9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Основной шрифт абзаца"/>
    <w:qFormat/>
    <w:rPr/>
  </w:style>
  <w:style w:type="character" w:styleId="Character20style">
    <w:name w:val="Character_20_style"/>
    <w:qFormat/>
    <w:rPr/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Обычный (веб)"/>
    <w:basedOn w:val="Normal"/>
    <w:qFormat/>
    <w:pPr>
      <w:spacing w:before="280" w:after="280"/>
    </w:pPr>
    <w:rPr>
      <w:rFonts w:eastAsia="Times New Roman"/>
    </w:rPr>
  </w:style>
  <w:style w:type="paragraph" w:styleId="ConsPlusNormal">
    <w:name w:val="ConsPlus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179850A0EF96663A186F04DD468DDB446C8B4800C387D8A51A50169749D1F7DC2E2853FBFBD3999CLEj7J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140</TotalTime>
  <Application>LibreOffice/6.3.5.2$Windows_X86_64 LibreOffice_project/dd0751754f11728f69b42ee2af66670068624673</Application>
  <Pages>2</Pages>
  <Words>773</Words>
  <Characters>5744</Characters>
  <CharactersWithSpaces>6518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2021-10-18T14:25:49Z</dcterms:created>
  <dc:creator/>
  <dc:description/>
  <dc:language>ru-RU</dc:language>
  <cp:lastModifiedBy/>
  <dcterms:modified xsi:type="dcterms:W3CDTF">2026-06-29T11:01:29Z</dcterms:modified>
  <cp:revision>31</cp:revision>
  <dc:subject/>
  <dc:title/>
</cp:coreProperties>
</file>