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Контракт № __________</w:t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widowControl w:val="false"/>
        <w:ind w:right="-11" w:hanging="0"/>
        <w:jc w:val="both"/>
        <w:rPr>
          <w:sz w:val="22"/>
          <w:szCs w:val="22"/>
        </w:rPr>
      </w:pPr>
      <w:r>
        <w:rPr>
          <w:sz w:val="22"/>
          <w:szCs w:val="22"/>
        </w:rPr>
        <w:t>Санкт-Петербург</w:t>
        <w:tab/>
        <w:tab/>
        <w:t xml:space="preserve">                                                                                                       ________________</w:t>
      </w:r>
    </w:p>
    <w:p>
      <w:pPr>
        <w:pStyle w:val="Normal"/>
        <w:widowControl w:val="false"/>
        <w:ind w:right="97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Санкт-Петербургское государственное бюджетное учреждение здравоохранения «Городская поликлиника № 106» </w:t>
      </w:r>
      <w:r>
        <w:rPr>
          <w:i/>
          <w:sz w:val="22"/>
          <w:szCs w:val="22"/>
        </w:rPr>
        <w:t>(СПб ГБУЗ «Городская поликлиника № 106»),</w:t>
      </w:r>
      <w:r>
        <w:rPr>
          <w:sz w:val="22"/>
          <w:szCs w:val="22"/>
        </w:rPr>
        <w:t xml:space="preserve"> именуемое в дальнейшем «Заказчик», в лице Главного врача Кунина Вадима Григорьевича, действующего на основании Устава, с одной стороны и </w:t>
      </w:r>
      <w:r>
        <w:rPr>
          <w:b/>
          <w:sz w:val="22"/>
          <w:szCs w:val="22"/>
        </w:rPr>
        <w:t>__________________________________</w:t>
      </w:r>
      <w:r>
        <w:rPr>
          <w:sz w:val="22"/>
          <w:szCs w:val="22"/>
        </w:rPr>
        <w:t>, именуемое в дальнейшем «Поставщик», в лице __________________________, действующего на основании _________________________ с другой стороны, здесь и далее именуемые «Стороны», в порядке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 заключили настоящий контракт (далее – «Контракт») о нижеследующем:</w:t>
      </w:r>
    </w:p>
    <w:p>
      <w:pPr>
        <w:pStyle w:val="Normal"/>
        <w:widowControl w:val="false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ListParagraph"/>
        <w:widowControl w:val="false"/>
        <w:numPr>
          <w:ilvl w:val="0"/>
          <w:numId w:val="5"/>
        </w:numPr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Предмет Контракта</w:t>
      </w:r>
    </w:p>
    <w:p>
      <w:pPr>
        <w:pStyle w:val="ListParagraph"/>
        <w:widowControl w:val="false"/>
        <w:ind w:left="72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570" w:leader="none"/>
        </w:tabs>
        <w:suppressAutoHyphens w:val="true"/>
        <w:ind w:left="0" w:hanging="0"/>
        <w:jc w:val="both"/>
        <w:rPr>
          <w:b/>
          <w:b/>
          <w:color w:val="000000"/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В соответствии с Контрактом Поставщик обязуется в порядке и сроки, предусмотренные Контрактом, осуществить поставку </w:t>
      </w:r>
      <w:r>
        <w:rPr>
          <w:b/>
          <w:sz w:val="22"/>
          <w:szCs w:val="22"/>
          <w:lang w:eastAsia="ar-SA"/>
        </w:rPr>
        <w:t xml:space="preserve">шин пневматических для легкового автомобиля для нужд СПб ГБУЗ «Городская поликлиника № 106» в 2026 году </w:t>
      </w:r>
      <w:r>
        <w:rPr>
          <w:sz w:val="22"/>
          <w:szCs w:val="22"/>
          <w:lang w:eastAsia="ar-SA"/>
        </w:rPr>
        <w:t xml:space="preserve">(ОКПД2 – 22.11.11.000 </w:t>
      </w:r>
      <w:r>
        <w:rPr>
          <w:color w:val="000000"/>
          <w:sz w:val="22"/>
          <w:szCs w:val="22"/>
          <w:lang w:eastAsia="ar-SA"/>
        </w:rPr>
        <w:t>далее – «Товар»)</w:t>
      </w:r>
      <w:r>
        <w:rPr>
          <w:sz w:val="22"/>
          <w:szCs w:val="22"/>
          <w:lang w:eastAsia="ar-SA"/>
        </w:rPr>
        <w:t xml:space="preserve"> в соответствии со Спецификацией (приложение № 1 к Контракту), а Заказчик обязуется в порядке и сроки, предусмотренные Контрактом, принять и оплатить поставленный Товар.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1.3. Номенклатура Товара и его количество определяются Спецификацией (приложение № 1 к Контракту)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1.4. Поставка Товара осуществляется Поставщиком с разгрузкой с транспортного средства по адресу: 198328, Санкт-Петербург, ул. Рихарда Зорге, д. 13, лит. А.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b/>
          <w:b/>
          <w:sz w:val="22"/>
          <w:szCs w:val="22"/>
        </w:rPr>
      </w:pPr>
      <w:r>
        <w:rPr>
          <w:sz w:val="22"/>
          <w:szCs w:val="22"/>
        </w:rPr>
        <w:t xml:space="preserve">1.5. Срок поставки товара: </w:t>
      </w:r>
      <w:r>
        <w:rPr>
          <w:b/>
          <w:sz w:val="22"/>
          <w:szCs w:val="22"/>
        </w:rPr>
        <w:t>не более 5 рабочих дней с момента заключения контракта.</w:t>
      </w:r>
    </w:p>
    <w:p>
      <w:pPr>
        <w:pStyle w:val="Normal"/>
        <w:suppressAutoHyphens w:val="true"/>
        <w:ind w:left="360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ListParagraph"/>
        <w:numPr>
          <w:ilvl w:val="0"/>
          <w:numId w:val="5"/>
        </w:numPr>
        <w:suppressAutoHyphens w:val="true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Цена контракта и порядок расчетов</w:t>
      </w:r>
    </w:p>
    <w:p>
      <w:pPr>
        <w:pStyle w:val="ListParagraph"/>
        <w:suppressAutoHyphens w:val="true"/>
        <w:ind w:left="720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16"/>
        <w:numPr>
          <w:ilvl w:val="0"/>
          <w:numId w:val="3"/>
        </w:numPr>
        <w:tabs>
          <w:tab w:val="clear" w:pos="708"/>
          <w:tab w:val="left" w:pos="480" w:leader="none"/>
        </w:tabs>
        <w:ind w:left="0" w:hanging="0"/>
        <w:jc w:val="both"/>
        <w:rPr>
          <w:sz w:val="22"/>
          <w:szCs w:val="22"/>
        </w:rPr>
      </w:pPr>
      <w:r>
        <w:rPr>
          <w:sz w:val="22"/>
          <w:szCs w:val="22"/>
        </w:rPr>
        <w:t>Цена Контракта и валюта платежа устанавливаются в российских рублях.</w:t>
      </w:r>
    </w:p>
    <w:p>
      <w:pPr>
        <w:pStyle w:val="16"/>
        <w:numPr>
          <w:ilvl w:val="0"/>
          <w:numId w:val="3"/>
        </w:numPr>
        <w:tabs>
          <w:tab w:val="clear" w:pos="708"/>
          <w:tab w:val="left" w:pos="480" w:leader="none"/>
        </w:tabs>
        <w:ind w:left="0" w:hang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Цена Контракта составляет </w:t>
      </w:r>
      <w:r>
        <w:rPr>
          <w:b/>
          <w:sz w:val="22"/>
          <w:szCs w:val="22"/>
        </w:rPr>
        <w:t xml:space="preserve">_____________ рублей __________ копеек </w:t>
      </w:r>
      <w:r>
        <w:rPr>
          <w:sz w:val="22"/>
          <w:szCs w:val="22"/>
        </w:rPr>
        <w:t>(сумма прописью</w:t>
      </w:r>
      <w:r>
        <w:rPr>
          <w:bCs/>
          <w:sz w:val="22"/>
          <w:szCs w:val="22"/>
        </w:rPr>
        <w:t xml:space="preserve">), в том числе </w:t>
      </w:r>
      <w:r>
        <w:rPr>
          <w:iCs/>
          <w:sz w:val="22"/>
          <w:szCs w:val="22"/>
        </w:rPr>
        <w:t>НДС _____ в размере.</w:t>
      </w:r>
    </w:p>
    <w:p>
      <w:pPr>
        <w:pStyle w:val="16"/>
        <w:numPr>
          <w:ilvl w:val="0"/>
          <w:numId w:val="3"/>
        </w:numPr>
        <w:tabs>
          <w:tab w:val="clear" w:pos="708"/>
          <w:tab w:val="left" w:pos="480" w:leader="none"/>
        </w:tabs>
        <w:ind w:left="0" w:hanging="0"/>
        <w:jc w:val="both"/>
        <w:rPr>
          <w:sz w:val="22"/>
          <w:szCs w:val="22"/>
        </w:rPr>
      </w:pPr>
      <w:r>
        <w:rPr>
          <w:sz w:val="22"/>
          <w:szCs w:val="22"/>
        </w:rPr>
        <w:t>Цена Контракта включает в себя стоимость Товара, а также все расходы на транспортировку, погрузо-разгрузочные работы (в случае поставки Товара с разгрузкой транспортного средства),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>
      <w:pPr>
        <w:pStyle w:val="ListParagraph"/>
        <w:numPr>
          <w:ilvl w:val="1"/>
          <w:numId w:val="9"/>
        </w:numPr>
        <w:tabs>
          <w:tab w:val="clear" w:pos="708"/>
          <w:tab w:val="left" w:pos="426" w:leader="none"/>
        </w:tabs>
        <w:ind w:left="0" w:hanging="0"/>
        <w:jc w:val="both"/>
        <w:rPr>
          <w:sz w:val="22"/>
          <w:szCs w:val="22"/>
        </w:rPr>
      </w:pPr>
      <w:r>
        <w:rPr>
          <w:sz w:val="22"/>
          <w:szCs w:val="22"/>
        </w:rPr>
        <w:t>Источник финансирования закупки внебюджетные средства: средства обязательного медицинского страхования, средства от иной приносящей доход деятельности, код вида расходов 244,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код ОСГУ 340.</w:t>
      </w:r>
    </w:p>
    <w:p>
      <w:pPr>
        <w:pStyle w:val="16"/>
        <w:numPr>
          <w:ilvl w:val="1"/>
          <w:numId w:val="9"/>
        </w:numPr>
        <w:tabs>
          <w:tab w:val="clear" w:pos="708"/>
          <w:tab w:val="left" w:pos="480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Цена Контракта является твердой и определяется на весь срок его исполнения. </w:t>
      </w:r>
    </w:p>
    <w:p>
      <w:pPr>
        <w:pStyle w:val="16"/>
        <w:tabs>
          <w:tab w:val="clear" w:pos="708"/>
          <w:tab w:val="left" w:pos="480" w:leader="none"/>
          <w:tab w:val="left" w:pos="709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8"/>
        </w:numPr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Права и обязанности сторон</w:t>
      </w:r>
    </w:p>
    <w:p>
      <w:pPr>
        <w:pStyle w:val="ListParagraph"/>
        <w:ind w:left="720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i/>
          <w:i/>
          <w:sz w:val="22"/>
          <w:szCs w:val="22"/>
        </w:rPr>
      </w:pPr>
      <w:r>
        <w:rPr>
          <w:b/>
          <w:i/>
          <w:sz w:val="22"/>
          <w:szCs w:val="22"/>
        </w:rPr>
        <w:t>3.1. Поставщик обязан: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 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3.1.2. Представлять по требованию Заказчика информацию и документы, относящиеся к предмету Контракта;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3.1.3. Незамедлительно информировать Заказчика обо всех обстоятельствах, препятствующих исполнению Контракта;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3.1.4. Устранять своими силами и за свой счет допущенные недостатки при поставке Товара;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3.1.5. Предоставлять надлежащим образом оформленные отчетные и финансовые документы (счет, счет-фактура (при наличии), накладная либо накладная по форме УПД (Универсальный передаточный документ), оформленная в установленном порядке, Акт приема-передачи Товара, по наименованию, единице измерения и цене полностью соответствующие Спецификации к Контракту в срок, установленный Контрактом;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3.1.6. Соблюдать конфиденциальность в отношении всей информации, ставшей известной Поставщику в связи с исполнением обязательств по Контракту;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3.1.7. Нести риск случайной гибели или случайного повреждения товара до его приемки Заказчиком.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2"/>
          <w:szCs w:val="22"/>
          <w:lang w:eastAsia="ar-SA"/>
        </w:rPr>
      </w:pPr>
      <w:r>
        <w:rPr>
          <w:sz w:val="22"/>
          <w:szCs w:val="22"/>
        </w:rPr>
        <w:t xml:space="preserve">3.1.8. </w:t>
      </w:r>
      <w:r>
        <w:rPr>
          <w:sz w:val="22"/>
          <w:szCs w:val="22"/>
          <w:lang w:eastAsia="ar-SA"/>
        </w:rPr>
        <w:t>При исполнении Контракта не допускается перемены Поставщика, 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i/>
          <w:i/>
          <w:sz w:val="22"/>
          <w:szCs w:val="22"/>
        </w:rPr>
      </w:pPr>
      <w:r>
        <w:rPr>
          <w:b/>
          <w:i/>
          <w:sz w:val="22"/>
          <w:szCs w:val="22"/>
        </w:rPr>
        <w:t>3.2. Поставщик вправе: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3.2.1. Требовать от Заказчика приемки поставленного Товара в Месте доставки;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3.2.3. Требовать от Заказчика своевременной оплаты поставленного Товара в порядке и на условиях, предусмотренных Контрактом.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i/>
          <w:i/>
          <w:sz w:val="22"/>
          <w:szCs w:val="22"/>
        </w:rPr>
      </w:pPr>
      <w:r>
        <w:rPr>
          <w:b/>
          <w:i/>
          <w:sz w:val="22"/>
          <w:szCs w:val="22"/>
        </w:rPr>
        <w:t>3.3. Заказчик обязан: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3.3.2. Своевременно принять и оплатить поставленный Товар;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3.3.3. Заказчик обязан принять решение об одностороннем отказе от исполнения контракта, если в ходе исполнения контракта установлено, что Поставщик и(или) поставляемый товар не соответствуют установленным извещением об осуществлении закупки и(или) документацией о закупке требованиям к участникам закупки и(или) поставляемому товару или представил недостоверную информацию о своем соответствии и(или) соответствии поставляемого товара таким требованиям, что позволило ему стать победителем определения поставщика (подрядчика, исполнителя)".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b/>
          <w:b/>
          <w:i/>
          <w:i/>
          <w:sz w:val="22"/>
          <w:szCs w:val="22"/>
        </w:rPr>
      </w:pPr>
      <w:r>
        <w:rPr>
          <w:b/>
          <w:i/>
          <w:sz w:val="22"/>
          <w:szCs w:val="22"/>
        </w:rPr>
        <w:t>3.4. Заказчик вправе: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3.4.1. Требовать от Поставщика надлежащего исполнения обязательств, предусмотренных Контрактом;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3.4.2. Запрашивать у Поставщика информацию об исполнении им обязательств по Контракту;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3.4.4. Осуществлять выборочную проверку качества поставляемого Товара, в том числе после приемки Товара; 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3.4.5. Требовать от Поставщика устранения недостатков, допущенных при исполнении Контракта, за его счет;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>
      <w:pPr>
        <w:pStyle w:val="Normal"/>
        <w:tabs>
          <w:tab w:val="clear" w:pos="708"/>
          <w:tab w:val="left" w:pos="540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16"/>
        <w:numPr>
          <w:ilvl w:val="0"/>
          <w:numId w:val="8"/>
        </w:numPr>
        <w:tabs>
          <w:tab w:val="clear" w:pos="708"/>
          <w:tab w:val="left" w:pos="480" w:leader="none"/>
        </w:tabs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Упаковка и маркировка</w:t>
      </w:r>
    </w:p>
    <w:p>
      <w:pPr>
        <w:pStyle w:val="16"/>
        <w:tabs>
          <w:tab w:val="clear" w:pos="708"/>
          <w:tab w:val="left" w:pos="480" w:leader="none"/>
        </w:tabs>
        <w:ind w:left="72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16"/>
        <w:tabs>
          <w:tab w:val="clear" w:pos="708"/>
          <w:tab w:val="left" w:pos="480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4.1.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виду Товара.</w:t>
      </w:r>
    </w:p>
    <w:p>
      <w:pPr>
        <w:pStyle w:val="16"/>
        <w:tabs>
          <w:tab w:val="clear" w:pos="708"/>
          <w:tab w:val="left" w:pos="480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4.2. Вся упаковка должна соответствовать требованиям законодательства Российской Федерации.</w:t>
      </w:r>
    </w:p>
    <w:p>
      <w:pPr>
        <w:pStyle w:val="16"/>
        <w:tabs>
          <w:tab w:val="clear" w:pos="708"/>
          <w:tab w:val="left" w:pos="480" w:leader="none"/>
        </w:tabs>
        <w:ind w:left="284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Spacing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 xml:space="preserve">5. Поставка Товара </w:t>
      </w:r>
    </w:p>
    <w:p>
      <w:pPr>
        <w:pStyle w:val="NoSpacing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5.1. Поставка Товара осуществляется Поставщиком в Место доставки.</w:t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sz w:val="22"/>
          <w:szCs w:val="22"/>
        </w:rPr>
        <w:t xml:space="preserve">5.2. Срок поставки товара: </w:t>
      </w:r>
      <w:r>
        <w:rPr>
          <w:b/>
          <w:sz w:val="22"/>
          <w:szCs w:val="22"/>
        </w:rPr>
        <w:t>не более 5 рабочих дней с момента заключения контракта.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5.3. Поставщик производит поставку Товара и его выгрузку непосредственно по адресу Заказчика.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5.4. Поставка товара должна производиться по рабочим дням с 10:00 до 16:00 час.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5.5. Фактической датой поставки считается дата, указанная в Акте приема-передачи Товара (приложение №2 к Контракту).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5.6. При поставке Товара Поставщик представляет Заказчику следующую документацию:</w:t>
      </w:r>
    </w:p>
    <w:p>
      <w:pPr>
        <w:pStyle w:val="Normal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а) накладную либо накладную по форме УПД (Универсальный передаточный документ), оформленную в установленном порядке;</w:t>
      </w:r>
    </w:p>
    <w:p>
      <w:pPr>
        <w:pStyle w:val="Normal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б) акт приема-передачи Товара в двух экземплярах (один экземпляр для Заказчика и один экземпляр Поставщика);</w:t>
      </w:r>
    </w:p>
    <w:p>
      <w:pPr>
        <w:pStyle w:val="Normal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в) копию документа, подтверждающего соответствие Товара, выданного уполномоченными органами (организациями) (при наличии).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5.7. Товар, поставленный сверх количества, предусмотренного контрактом, товар не соответствующий требованиям, установленным контрактом к количеству, комплектности, а также товар, поставленный по истечении срока действия контракта, не оплачивается.</w:t>
      </w:r>
    </w:p>
    <w:p>
      <w:pPr>
        <w:pStyle w:val="Normal"/>
        <w:jc w:val="both"/>
        <w:rPr>
          <w:b/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</w:r>
    </w:p>
    <w:p>
      <w:pPr>
        <w:pStyle w:val="ListParagraph"/>
        <w:numPr>
          <w:ilvl w:val="0"/>
          <w:numId w:val="7"/>
        </w:numPr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Приемка Товара</w:t>
      </w:r>
    </w:p>
    <w:p>
      <w:pPr>
        <w:pStyle w:val="ListParagraph"/>
        <w:ind w:left="72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6.1. Приемка поставленного Товара осуществляется в ходе передачи Товара Заказчику в Месте доставки и включает в себя следующее:</w:t>
      </w:r>
    </w:p>
    <w:p>
      <w:pPr>
        <w:pStyle w:val="ListParagraph"/>
        <w:tabs>
          <w:tab w:val="clear" w:pos="708"/>
          <w:tab w:val="left" w:pos="360" w:leader="none"/>
        </w:tabs>
        <w:ind w:left="0" w:hanging="0"/>
        <w:jc w:val="both"/>
        <w:rPr>
          <w:sz w:val="22"/>
          <w:szCs w:val="22"/>
        </w:rPr>
      </w:pPr>
      <w:r>
        <w:rPr>
          <w:sz w:val="22"/>
          <w:szCs w:val="22"/>
        </w:rPr>
        <w:t>а) </w:t>
      </w:r>
      <w:r>
        <w:rPr>
          <w:b/>
          <w:sz w:val="22"/>
          <w:szCs w:val="22"/>
        </w:rPr>
        <w:t>проверку полноты и правильности оформления комплекта сопроводительных документов</w:t>
      </w:r>
      <w:r>
        <w:rPr>
          <w:sz w:val="22"/>
          <w:szCs w:val="22"/>
        </w:rPr>
        <w:t xml:space="preserve"> в соответствии с условиями Контракта;</w:t>
      </w:r>
    </w:p>
    <w:p>
      <w:pPr>
        <w:pStyle w:val="ListParagraph"/>
        <w:tabs>
          <w:tab w:val="clear" w:pos="708"/>
          <w:tab w:val="left" w:pos="360" w:leader="none"/>
        </w:tabs>
        <w:ind w:left="0" w:hanging="0"/>
        <w:jc w:val="both"/>
        <w:rPr>
          <w:sz w:val="22"/>
          <w:szCs w:val="22"/>
        </w:rPr>
      </w:pPr>
      <w:r>
        <w:rPr>
          <w:sz w:val="22"/>
          <w:szCs w:val="22"/>
        </w:rPr>
        <w:t>б)</w:t>
      </w:r>
      <w:r>
        <w:rPr>
          <w:sz w:val="22"/>
          <w:szCs w:val="22"/>
          <w:lang w:val="en-US"/>
        </w:rPr>
        <w:t> </w:t>
      </w:r>
      <w:r>
        <w:rPr>
          <w:b/>
          <w:sz w:val="22"/>
          <w:szCs w:val="22"/>
        </w:rPr>
        <w:t>проверку комплектности</w:t>
      </w:r>
      <w:r>
        <w:rPr>
          <w:sz w:val="22"/>
          <w:szCs w:val="22"/>
        </w:rPr>
        <w:t xml:space="preserve"> и целостности поставленного Товара.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Приемка Товара осуществляется в соответствии с требованиями законодательства Российской Федерации.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факту приемки Товара Поставщик и Заказчик подписывают Акт приема-передачи Товара (приложение №2 к Контракту). </w:t>
      </w:r>
    </w:p>
    <w:p>
      <w:pPr>
        <w:pStyle w:val="Normal"/>
        <w:jc w:val="both"/>
        <w:rPr>
          <w:rFonts w:eastAsia="Calibri" w:eastAsiaTheme="minorHAnsi"/>
          <w:sz w:val="22"/>
          <w:szCs w:val="22"/>
          <w:lang w:eastAsia="en-US"/>
        </w:rPr>
      </w:pPr>
      <w:r>
        <w:rPr>
          <w:rFonts w:eastAsia="Calibri" w:eastAsiaTheme="minorHAnsi"/>
          <w:sz w:val="22"/>
          <w:szCs w:val="22"/>
          <w:lang w:eastAsia="en-US"/>
        </w:rPr>
        <w:t xml:space="preserve">6.2. Для проверки предоставленных Поставщиком результатов поставки, предусмотренных Контрактом, в части их соответствия условиям Контракта Заказчик проводит экспертизу </w:t>
      </w:r>
      <w:r>
        <w:rPr>
          <w:sz w:val="22"/>
          <w:szCs w:val="22"/>
        </w:rPr>
        <w:t>Товара</w:t>
      </w:r>
      <w:r>
        <w:rPr>
          <w:rFonts w:eastAsia="Calibri" w:eastAsiaTheme="minorHAnsi"/>
          <w:sz w:val="22"/>
          <w:szCs w:val="22"/>
          <w:lang w:eastAsia="en-US"/>
        </w:rPr>
        <w:t xml:space="preserve">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6.3. Заказчик в течение 5 (Пяти) рабочих дней со дня получения от Поставщика документов, предусмотренных пунктом 5.6 Контракта, направляет Поставщику подписанный Акт приема-передачи Товара (приложение №2 к Контракту) или мотивированный отказ от подписания, в котором указываются недостатки и сроки их устранения.</w:t>
      </w:r>
    </w:p>
    <w:p>
      <w:pPr>
        <w:pStyle w:val="Normal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>6.4. После устранения недостатков, послуживших основанием для неподписания Акта приема-передачи Товара (приложение №2 к Контракту), Поставщик и Заказчик подписывают Акт приема-передачи Товара (приложение №2 к Контракту) в порядке и сроки, предусмотренные пунктом 6.3 Контракта.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6.5. Со дня подписания Акта приема-передачи Товара (приложение №2 к Контракту) Заказчиком все риски случайной гибели, утраты или повреждения Товара переходят к Заказчику.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6.6. Перевозка товара до адреса Заказчика, выполнение погрузо-разгрузочных работ, подъем на этаж, страхование, уплата таможенных пошлин, налогов, сборов осуществляется силами Поставщика и за его счет.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6.7. Право выбора вида транспорта и определения других условий доставки принадлежит Поставщику.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6.8. Результаты исполнения контракта, информация о поставленном товаре отражаются заказчиком в отчете, размещаемом в единой информационной системе.</w:t>
      </w:r>
    </w:p>
    <w:p>
      <w:pPr>
        <w:pStyle w:val="Normal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7"/>
        </w:numPr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Качество Товара</w:t>
      </w:r>
    </w:p>
    <w:p>
      <w:pPr>
        <w:pStyle w:val="ListParagraph"/>
        <w:ind w:left="72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7.1. Качество Товара должно соответствовать требованиям законодательства Российской Федерации, что подтверждается документом, подтверждающим соответствие Товара.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7.2. Срок полезного использования не менее 12 месяцев.</w:t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ListParagraph"/>
        <w:numPr>
          <w:ilvl w:val="0"/>
          <w:numId w:val="7"/>
        </w:numPr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Порядок расчетов</w:t>
      </w:r>
    </w:p>
    <w:p>
      <w:pPr>
        <w:pStyle w:val="ListParagraph"/>
        <w:ind w:left="72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8.1. Оплата по Контракту осуществляется за счет внебюджетных средств: средства обязательного медицинского страхования, средства от иной приносящей доход деятельности, код вида расходов 244,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код ОСГУ 340.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8.2.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 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8.3.Оплата по Контракту за поставленный Товар осуществляется Заказчиком после представления Поставщиком, одновременно с поставкой Товара, следующих документов:</w:t>
      </w:r>
    </w:p>
    <w:p>
      <w:pPr>
        <w:pStyle w:val="Normal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а) счета;</w:t>
      </w:r>
    </w:p>
    <w:p>
      <w:pPr>
        <w:pStyle w:val="Normal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б) счета-фактуры (при наличии);</w:t>
      </w:r>
    </w:p>
    <w:p>
      <w:pPr>
        <w:pStyle w:val="Normal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в) накладной либо накладной по форме УПД (Универсальный передаточный документ), оформленной в установленном порядке;</w:t>
      </w:r>
    </w:p>
    <w:p>
      <w:pPr>
        <w:pStyle w:val="Normal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г) Актов приема-передачи Товара (приложение №2 к Контракту), подписанных Поставщиком и Заказчиком;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8.4. На всех документах, перечисленных в подпунктах «а», «б», «в», «г», пункта 8.3 Контракта обязательно должны быть указаны наименование Заказчика, Поставщика, номер и дата Контракта, даты оформления и подписания документов.</w:t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ListParagraph"/>
        <w:numPr>
          <w:ilvl w:val="0"/>
          <w:numId w:val="6"/>
        </w:numPr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Ответственность Сторон</w:t>
      </w:r>
    </w:p>
    <w:p>
      <w:pPr>
        <w:pStyle w:val="ListParagraph"/>
        <w:ind w:left="72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9.1.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9.2.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>
      <w:pPr>
        <w:pStyle w:val="Normal"/>
        <w:jc w:val="both"/>
        <w:rPr>
          <w:i/>
          <w:i/>
          <w:sz w:val="22"/>
          <w:szCs w:val="22"/>
        </w:rPr>
      </w:pPr>
      <w:r>
        <w:rPr>
          <w:sz w:val="22"/>
          <w:szCs w:val="22"/>
        </w:rPr>
        <w:t xml:space="preserve">9.3. </w:t>
      </w:r>
      <w:r>
        <w:rPr>
          <w:b/>
          <w:bCs/>
          <w:sz w:val="22"/>
          <w:szCs w:val="22"/>
        </w:rPr>
        <w:t>За каждый факт неисполнения Заказчиком обязательств, предусмотренных контрактом</w:t>
      </w:r>
      <w:r>
        <w:rPr>
          <w:sz w:val="22"/>
          <w:szCs w:val="22"/>
        </w:rPr>
        <w:t xml:space="preserve">, за исключением просрочки исполнения обязательств, предусмотренных контрактом, размер штрафа устанавливается в порядке: в случае, если цена контракта не превышает 3 млн. руб. (включительно), штраф составляет 1 000,00 руб. (Одна тысяча рублей 00 копеек), в соответствии </w:t>
      </w:r>
      <w:r>
        <w:rPr>
          <w:i/>
          <w:sz w:val="22"/>
          <w:szCs w:val="22"/>
        </w:rPr>
        <w:t>с п.9 Постановления Правительства РФ от 30.08.2017 №1042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9.4. </w:t>
      </w:r>
      <w:r>
        <w:rPr>
          <w:b/>
          <w:bCs/>
          <w:sz w:val="22"/>
          <w:szCs w:val="22"/>
        </w:rPr>
        <w:t>За каждый факт неисполнения или ненадлежащего исполнения Поставщиком обязательств, предусмотренных контрактом</w:t>
      </w:r>
      <w:r>
        <w:rPr>
          <w:sz w:val="22"/>
          <w:szCs w:val="22"/>
        </w:rPr>
        <w:t xml:space="preserve">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суммы: </w:t>
      </w:r>
      <w:r>
        <w:rPr>
          <w:b/>
          <w:sz w:val="22"/>
          <w:szCs w:val="22"/>
        </w:rPr>
        <w:t xml:space="preserve">10% цены контракта в случае, если цена контракта не превышает 3 млн.руб., </w:t>
      </w:r>
      <w:r>
        <w:rPr>
          <w:sz w:val="22"/>
          <w:szCs w:val="22"/>
        </w:rPr>
        <w:t xml:space="preserve">в соответствии </w:t>
      </w:r>
      <w:r>
        <w:rPr>
          <w:i/>
          <w:sz w:val="22"/>
          <w:szCs w:val="22"/>
        </w:rPr>
        <w:t>с п.3 Постановления Правительства РФ от 30.08.2017 №1042.</w:t>
      </w:r>
    </w:p>
    <w:p>
      <w:pPr>
        <w:pStyle w:val="Normal"/>
        <w:jc w:val="both"/>
        <w:rPr>
          <w:i/>
          <w:i/>
          <w:sz w:val="22"/>
          <w:szCs w:val="22"/>
        </w:rPr>
      </w:pPr>
      <w:r>
        <w:rPr>
          <w:sz w:val="22"/>
          <w:szCs w:val="22"/>
        </w:rPr>
        <w:t>9.5.</w:t>
      </w:r>
      <w:r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В случае просрочки исполнения Заказчиком обязательств, предусмотренных контрактом</w:t>
      </w:r>
      <w:r>
        <w:rPr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Пеня начисляется </w:t>
      </w:r>
      <w:r>
        <w:rPr>
          <w:sz w:val="22"/>
          <w:szCs w:val="22"/>
          <w:shd w:fill="FFFFFF" w:val="clear"/>
        </w:rPr>
        <w:t xml:space="preserve">Заказчику </w:t>
      </w:r>
      <w:r>
        <w:rPr>
          <w:sz w:val="22"/>
          <w:szCs w:val="22"/>
        </w:rPr>
        <w:t xml:space="preserve">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 </w:t>
      </w:r>
      <w:r>
        <w:rPr>
          <w:b/>
          <w:bCs/>
          <w:sz w:val="22"/>
          <w:szCs w:val="22"/>
        </w:rPr>
        <w:t>Штрафы</w:t>
      </w:r>
      <w:r>
        <w:rPr>
          <w:sz w:val="22"/>
          <w:szCs w:val="22"/>
        </w:rPr>
        <w:t xml:space="preserve">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виде фиксированной суммы, определенной в порядке, установленном Правительством Российской Федерации, </w:t>
      </w:r>
      <w:r>
        <w:rPr>
          <w:i/>
          <w:sz w:val="22"/>
          <w:szCs w:val="22"/>
        </w:rPr>
        <w:t>(в соответствии с ч.5 ст.34 Федерального закона № 44-ФЗ от 05.04.2013).</w:t>
      </w:r>
    </w:p>
    <w:p>
      <w:pPr>
        <w:pStyle w:val="Normal"/>
        <w:jc w:val="both"/>
        <w:rPr>
          <w:i/>
          <w:i/>
          <w:sz w:val="22"/>
          <w:szCs w:val="22"/>
        </w:rPr>
      </w:pPr>
      <w:r>
        <w:rPr>
          <w:sz w:val="22"/>
          <w:szCs w:val="22"/>
        </w:rPr>
        <w:t xml:space="preserve">9.6. </w:t>
      </w:r>
      <w:r>
        <w:rPr>
          <w:b/>
          <w:bCs/>
          <w:sz w:val="22"/>
          <w:szCs w:val="22"/>
        </w:rPr>
        <w:t>В случае просрочки исполнения обязательств Поставщиком (в том числе гарантийного обязательства), предусмотренных контрактом</w:t>
      </w:r>
      <w:r>
        <w:rPr>
          <w:sz w:val="22"/>
          <w:szCs w:val="22"/>
        </w:rPr>
        <w:t xml:space="preserve">, а также в иных случаях неисполнения или ненадлежащего исполнения Поставщиком обязательств, предусмотренных контрактом, Заказчик вправе выставить требование об уплате неустоек (штрафов, пеней) </w:t>
      </w:r>
      <w:r>
        <w:rPr>
          <w:i/>
          <w:sz w:val="22"/>
          <w:szCs w:val="22"/>
        </w:rPr>
        <w:t>(в соответствии с ч.6 ст.34 Федерального закона № 44-ФЗ от 05.04.2013).</w:t>
      </w:r>
    </w:p>
    <w:p>
      <w:pPr>
        <w:pStyle w:val="Normal"/>
        <w:jc w:val="both"/>
        <w:rPr>
          <w:i/>
          <w:i/>
          <w:sz w:val="22"/>
          <w:szCs w:val="22"/>
        </w:rPr>
      </w:pPr>
      <w:r>
        <w:rPr>
          <w:sz w:val="22"/>
          <w:szCs w:val="22"/>
        </w:rPr>
        <w:t xml:space="preserve">9.7. </w:t>
      </w:r>
      <w:r>
        <w:rPr>
          <w:b/>
          <w:bCs/>
          <w:sz w:val="22"/>
          <w:szCs w:val="22"/>
        </w:rPr>
        <w:t>Пеня</w:t>
      </w:r>
      <w:r>
        <w:rPr>
          <w:sz w:val="22"/>
          <w:szCs w:val="22"/>
        </w:rPr>
        <w:t xml:space="preserve">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  в размере, определенном в порядке Правительством Российской Федерации, но не менее чем 1/300 действующей на день уплаты пени ключевой ставки Центрального банка Российской Федерации от цены контракта,  уменьшенной на сумму, пропорциональную объему обязательств, предусмотренных контрактом и фактически исполненных Поставщиком </w:t>
      </w:r>
      <w:r>
        <w:rPr>
          <w:i/>
          <w:sz w:val="22"/>
          <w:szCs w:val="22"/>
        </w:rPr>
        <w:t>(в соответствии с ч.7 ст.34 Федерального закона № 44-ФЗ от 05.04.2013).</w:t>
      </w:r>
    </w:p>
    <w:p>
      <w:pPr>
        <w:pStyle w:val="Normal"/>
        <w:jc w:val="both"/>
        <w:rPr>
          <w:i/>
          <w:i/>
          <w:sz w:val="22"/>
          <w:szCs w:val="22"/>
        </w:rPr>
      </w:pPr>
      <w:r>
        <w:rPr>
          <w:sz w:val="22"/>
          <w:szCs w:val="22"/>
        </w:rPr>
        <w:t xml:space="preserve">9.8. </w:t>
      </w:r>
      <w:r>
        <w:rPr>
          <w:b/>
          <w:bCs/>
          <w:sz w:val="22"/>
          <w:szCs w:val="22"/>
        </w:rPr>
        <w:t>Штрафы</w:t>
      </w:r>
      <w:r>
        <w:rPr>
          <w:sz w:val="22"/>
          <w:szCs w:val="22"/>
        </w:rPr>
        <w:t xml:space="preserve">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виде фиксированной суммы, определенной в порядке, установленном Правительством Российской Федерации </w:t>
      </w:r>
      <w:r>
        <w:rPr>
          <w:i/>
          <w:sz w:val="22"/>
          <w:szCs w:val="22"/>
        </w:rPr>
        <w:t>(в соответствии с ч.8 ст.34 Федерального закона № 44-ФЗ от 05.04.2013).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9.9. </w:t>
      </w:r>
      <w:r>
        <w:rPr>
          <w:b/>
          <w:sz w:val="22"/>
          <w:szCs w:val="22"/>
        </w:rPr>
        <w:t>За каждый факт неисполнения или ненадлежащего исполнения</w:t>
      </w:r>
      <w:r>
        <w:rPr>
          <w:sz w:val="22"/>
          <w:szCs w:val="22"/>
        </w:rPr>
        <w:t xml:space="preserve">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в виде фиксированной суммы: составляет 1 000,00 руб. (Одна тысяча рублей 00 копеек).</w:t>
      </w:r>
    </w:p>
    <w:p>
      <w:pPr>
        <w:pStyle w:val="Normal"/>
        <w:jc w:val="both"/>
        <w:rPr>
          <w:i/>
          <w:i/>
          <w:sz w:val="22"/>
          <w:szCs w:val="22"/>
        </w:rPr>
      </w:pPr>
      <w:r>
        <w:rPr>
          <w:sz w:val="22"/>
          <w:szCs w:val="22"/>
        </w:rPr>
        <w:t xml:space="preserve">9.10. </w:t>
      </w:r>
      <w:r>
        <w:rPr>
          <w:b/>
          <w:bCs/>
          <w:sz w:val="22"/>
          <w:szCs w:val="22"/>
        </w:rPr>
        <w:t>Сторона освобождается</w:t>
      </w:r>
      <w:r>
        <w:rPr>
          <w:sz w:val="22"/>
          <w:szCs w:val="22"/>
        </w:rPr>
        <w:t xml:space="preserve">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 </w:t>
      </w:r>
      <w:r>
        <w:rPr>
          <w:i/>
          <w:sz w:val="22"/>
          <w:szCs w:val="22"/>
        </w:rPr>
        <w:t>(в соответствии с ч.9 ст.34 Федерального закона № 44-ФЗ от 05.04.2013).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9.11.</w:t>
      </w:r>
      <w:r>
        <w:rPr>
          <w:b/>
          <w:bCs/>
          <w:i/>
          <w:iCs/>
          <w:sz w:val="22"/>
          <w:szCs w:val="22"/>
        </w:rPr>
        <w:t xml:space="preserve"> Общая сумма начисленной неустойки (штрафов, пени) за неисполнение или ненадлежащее исполнение Поставщиком </w:t>
      </w:r>
      <w:r>
        <w:rPr>
          <w:sz w:val="22"/>
          <w:szCs w:val="22"/>
        </w:rPr>
        <w:t xml:space="preserve">обязательств, предусмотренных контрактом, не может превышать цену контракта, в соответствии </w:t>
      </w:r>
      <w:r>
        <w:rPr>
          <w:i/>
          <w:sz w:val="22"/>
          <w:szCs w:val="22"/>
        </w:rPr>
        <w:t>с п.11 Постановления Правительства РФ от 30.08.2017 №1042.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9.12.</w:t>
      </w:r>
      <w:r>
        <w:rPr>
          <w:b/>
          <w:bCs/>
          <w:i/>
          <w:iCs/>
          <w:sz w:val="22"/>
          <w:szCs w:val="22"/>
        </w:rPr>
        <w:t xml:space="preserve"> Общая сумма начисленной неустойки (штрафов, пени) за ненадлежащее исполнение Заказчиком</w:t>
      </w:r>
      <w:r>
        <w:rPr>
          <w:sz w:val="22"/>
          <w:szCs w:val="22"/>
        </w:rPr>
        <w:t xml:space="preserve"> обязательств, предусмотренных контрактом, не может превышать цену контракта, в соответствии </w:t>
      </w:r>
      <w:r>
        <w:rPr>
          <w:i/>
          <w:sz w:val="22"/>
          <w:szCs w:val="22"/>
        </w:rPr>
        <w:t>с п.12 Постановления Правительства РФ от 30.08.2017 №1042.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9.13. Заказчик вправе произвести перечисление денежных средств в оплату обязательств по Контракту в сумме, уменьшенной на размер неустойки (штрафа, пени). Сумма неустойки (штрафа, пеней) по Контракту признается собственными доходами СПб ГБУЗ «Городская поликлиника № 106».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widowControl w:val="false"/>
        <w:numPr>
          <w:ilvl w:val="0"/>
          <w:numId w:val="6"/>
        </w:numPr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Срок действия Контракта, изменение и расторжение Контракта</w:t>
      </w:r>
    </w:p>
    <w:p>
      <w:pPr>
        <w:pStyle w:val="ListParagraph"/>
        <w:widowControl w:val="false"/>
        <w:ind w:left="72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sz w:val="22"/>
          <w:szCs w:val="22"/>
        </w:rPr>
      </w:pPr>
      <w:r>
        <w:rPr>
          <w:sz w:val="22"/>
          <w:szCs w:val="22"/>
        </w:rPr>
        <w:t>10.1. Контракт вступает в силу с момента подписания сторонами и действует по 31.12.2026. Окончание срока действия Контракта не влечет прекращения неисполненных обязательств Сторон по Контракту.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sz w:val="22"/>
          <w:szCs w:val="22"/>
        </w:rPr>
      </w:pPr>
      <w:r>
        <w:rPr>
          <w:sz w:val="22"/>
          <w:szCs w:val="22"/>
        </w:rPr>
        <w:t>10.2. Все изменения Контракта должны быть совершены в письменном виде и оформлены дополнительными соглашениями к Контракту.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sz w:val="22"/>
          <w:szCs w:val="22"/>
        </w:rPr>
      </w:pPr>
      <w:r>
        <w:rPr>
          <w:sz w:val="22"/>
          <w:szCs w:val="22"/>
        </w:rPr>
        <w:t>10.3.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sz w:val="22"/>
          <w:szCs w:val="22"/>
        </w:rPr>
      </w:pPr>
      <w:r>
        <w:rPr>
          <w:sz w:val="22"/>
          <w:szCs w:val="22"/>
        </w:rPr>
        <w:t>10.4.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sz w:val="22"/>
          <w:szCs w:val="22"/>
        </w:rPr>
      </w:pPr>
      <w:r>
        <w:rPr>
          <w:sz w:val="22"/>
          <w:szCs w:val="22"/>
        </w:rPr>
        <w:t>10.5.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sz w:val="22"/>
          <w:szCs w:val="22"/>
        </w:rPr>
      </w:pPr>
      <w:r>
        <w:rPr>
          <w:sz w:val="22"/>
          <w:szCs w:val="22"/>
        </w:rPr>
        <w:t>10.6. Существенные условия Контракта могут быть изменены только в случаях, предусмотренных Федеральным законом о контрактной системе.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33"/>
        <w:numPr>
          <w:ilvl w:val="0"/>
          <w:numId w:val="6"/>
        </w:numPr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Исключительные права</w:t>
      </w:r>
    </w:p>
    <w:p>
      <w:pPr>
        <w:pStyle w:val="Style33"/>
        <w:numPr>
          <w:ilvl w:val="0"/>
          <w:numId w:val="0"/>
        </w:numPr>
        <w:ind w:left="72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sz w:val="22"/>
          <w:szCs w:val="22"/>
        </w:rPr>
      </w:pPr>
      <w:r>
        <w:rPr>
          <w:sz w:val="22"/>
          <w:szCs w:val="22"/>
        </w:rPr>
        <w:t xml:space="preserve">11.1. Поставщик гарантирует отсутствие нарушения исключительных прав третьих лиц, связанных с поставкой и использованием </w:t>
      </w:r>
      <w:r>
        <w:rPr>
          <w:rFonts w:eastAsia="Calibri" w:eastAsiaTheme="minorHAnsi"/>
          <w:sz w:val="22"/>
          <w:szCs w:val="22"/>
          <w:lang w:eastAsia="en-US"/>
        </w:rPr>
        <w:t>Товара</w:t>
      </w:r>
      <w:r>
        <w:rPr>
          <w:sz w:val="22"/>
          <w:szCs w:val="22"/>
        </w:rPr>
        <w:t xml:space="preserve"> в рамках Контракта.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sz w:val="22"/>
          <w:szCs w:val="22"/>
        </w:rPr>
      </w:pPr>
      <w:r>
        <w:rPr>
          <w:sz w:val="22"/>
          <w:szCs w:val="22"/>
        </w:rPr>
        <w:t xml:space="preserve">11.2. Все убытки, понесенные Заказчиком при нарушении исключительных прав третьих лиц при использовании </w:t>
      </w:r>
      <w:r>
        <w:rPr>
          <w:rFonts w:eastAsia="Calibri" w:eastAsiaTheme="minorHAnsi"/>
          <w:sz w:val="22"/>
          <w:szCs w:val="22"/>
          <w:lang w:eastAsia="en-US"/>
        </w:rPr>
        <w:t>Товара</w:t>
      </w:r>
      <w:r>
        <w:rPr>
          <w:sz w:val="22"/>
          <w:szCs w:val="22"/>
        </w:rPr>
        <w:t>, включая судебные расходы и материальный ущерб, возмещаются Поставщиком.</w:t>
      </w:r>
    </w:p>
    <w:p>
      <w:pPr>
        <w:pStyle w:val="NoSpacing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Spacing"/>
        <w:numPr>
          <w:ilvl w:val="0"/>
          <w:numId w:val="6"/>
        </w:numPr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Обстоятельства непреодолимой силы</w:t>
      </w:r>
    </w:p>
    <w:p>
      <w:pPr>
        <w:pStyle w:val="NoSpacing"/>
        <w:ind w:left="72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sz w:val="22"/>
          <w:szCs w:val="22"/>
        </w:rPr>
      </w:pPr>
      <w:r>
        <w:rPr>
          <w:sz w:val="22"/>
          <w:szCs w:val="22"/>
        </w:rPr>
        <w:t>12.1.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sz w:val="22"/>
          <w:szCs w:val="22"/>
        </w:rPr>
      </w:pPr>
      <w:r>
        <w:rPr>
          <w:sz w:val="22"/>
          <w:szCs w:val="22"/>
        </w:rPr>
        <w:t>12.2. 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sz w:val="22"/>
          <w:szCs w:val="22"/>
        </w:rPr>
      </w:pPr>
      <w:r>
        <w:rPr>
          <w:sz w:val="22"/>
          <w:szCs w:val="22"/>
        </w:rPr>
        <w:t xml:space="preserve">13.3. Сторона, у которой возникли обстоятельства непреодолимой силы, обязана в течение 10 (Десяти)  дней письменно информировать другую Сторону о случившемся и его причинах. </w:t>
      </w:r>
    </w:p>
    <w:p>
      <w:pPr>
        <w:pStyle w:val="Style33"/>
        <w:numPr>
          <w:ilvl w:val="0"/>
          <w:numId w:val="0"/>
        </w:numPr>
        <w:tabs>
          <w:tab w:val="clear" w:pos="708"/>
          <w:tab w:val="left" w:pos="1418" w:leader="none"/>
        </w:tabs>
        <w:ind w:left="0" w:hanging="0"/>
        <w:rPr>
          <w:sz w:val="22"/>
          <w:szCs w:val="22"/>
        </w:rPr>
      </w:pPr>
      <w:r>
        <w:rPr>
          <w:sz w:val="22"/>
          <w:szCs w:val="22"/>
        </w:rPr>
        <w:t>13.4. 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Style33"/>
        <w:numPr>
          <w:ilvl w:val="0"/>
          <w:numId w:val="6"/>
        </w:numPr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Уведомления</w:t>
      </w:r>
    </w:p>
    <w:p>
      <w:pPr>
        <w:pStyle w:val="Style33"/>
        <w:numPr>
          <w:ilvl w:val="0"/>
          <w:numId w:val="0"/>
        </w:numPr>
        <w:ind w:left="72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Style33"/>
        <w:numPr>
          <w:ilvl w:val="0"/>
          <w:numId w:val="0"/>
        </w:numPr>
        <w:ind w:left="0" w:hanging="0"/>
        <w:rPr>
          <w:sz w:val="22"/>
          <w:szCs w:val="22"/>
        </w:rPr>
      </w:pPr>
      <w:r>
        <w:rPr>
          <w:sz w:val="22"/>
          <w:szCs w:val="22"/>
        </w:rPr>
        <w:t>13.1. Любое уведомление, которое одна Сторона направляет другой Стороне в соответствии с Контрактом, высылается в виде электронного и почтового направления по адресу другой Стороны с подтверждением о получении.</w:t>
      </w:r>
    </w:p>
    <w:p>
      <w:pPr>
        <w:pStyle w:val="Style33"/>
        <w:numPr>
          <w:ilvl w:val="0"/>
          <w:numId w:val="0"/>
        </w:numPr>
        <w:ind w:left="0" w:hanging="0"/>
        <w:rPr>
          <w:sz w:val="22"/>
          <w:szCs w:val="22"/>
        </w:rPr>
      </w:pPr>
      <w:r>
        <w:rPr>
          <w:sz w:val="22"/>
          <w:szCs w:val="22"/>
        </w:rPr>
        <w:t>13.2. Уведомление считается доставленным после подтверждения о получении одной из Сторон.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ListParagraph"/>
        <w:numPr>
          <w:ilvl w:val="0"/>
          <w:numId w:val="6"/>
        </w:numPr>
        <w:jc w:val="center"/>
        <w:outlineLvl w:val="0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Антикоррупционные условия</w:t>
      </w:r>
    </w:p>
    <w:p>
      <w:pPr>
        <w:pStyle w:val="ListParagraph"/>
        <w:numPr>
          <w:ilvl w:val="0"/>
          <w:numId w:val="0"/>
        </w:numPr>
        <w:ind w:left="720" w:hanging="0"/>
        <w:outlineLvl w:val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14.1.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>
      <w:pPr>
        <w:pStyle w:val="Normal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>
      <w:pPr>
        <w:pStyle w:val="Normal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>
      <w:pPr>
        <w:pStyle w:val="Normal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>
      <w:pPr>
        <w:pStyle w:val="Style33"/>
        <w:numPr>
          <w:ilvl w:val="0"/>
          <w:numId w:val="6"/>
        </w:numPr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Дополнительные условия и заключительные положения</w:t>
      </w:r>
    </w:p>
    <w:p>
      <w:pPr>
        <w:pStyle w:val="Style33"/>
        <w:numPr>
          <w:ilvl w:val="0"/>
          <w:numId w:val="0"/>
        </w:numPr>
        <w:ind w:left="72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Style33"/>
        <w:numPr>
          <w:ilvl w:val="0"/>
          <w:numId w:val="0"/>
        </w:numPr>
        <w:ind w:left="0" w:hanging="0"/>
        <w:rPr>
          <w:sz w:val="22"/>
          <w:szCs w:val="22"/>
        </w:rPr>
      </w:pPr>
      <w:r>
        <w:rPr>
          <w:sz w:val="22"/>
          <w:szCs w:val="22"/>
        </w:rPr>
        <w:t>15.1. Во всем, что не предусмотрено Контрактом, Стороны руководствуются законодательством Российской Федерации.</w:t>
      </w:r>
    </w:p>
    <w:p>
      <w:pPr>
        <w:pStyle w:val="Style33"/>
        <w:numPr>
          <w:ilvl w:val="0"/>
          <w:numId w:val="0"/>
        </w:numPr>
        <w:ind w:left="0" w:hanging="0"/>
        <w:rPr>
          <w:sz w:val="22"/>
          <w:szCs w:val="22"/>
        </w:rPr>
      </w:pPr>
      <w:r>
        <w:rPr>
          <w:sz w:val="22"/>
          <w:szCs w:val="22"/>
        </w:rPr>
        <w:t>16.2.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>
          <w:rFonts w:eastAsia="Times New Roman"/>
          <w:iCs/>
          <w:sz w:val="22"/>
          <w:szCs w:val="22"/>
          <w:lang w:eastAsia="ru-RU"/>
        </w:rPr>
      </w:pPr>
      <w:r>
        <w:rPr>
          <w:sz w:val="22"/>
          <w:szCs w:val="22"/>
        </w:rPr>
        <w:t xml:space="preserve">15.3. </w:t>
      </w:r>
      <w:r>
        <w:rPr>
          <w:rFonts w:eastAsia="Times New Roman"/>
          <w:iCs/>
          <w:sz w:val="22"/>
          <w:szCs w:val="22"/>
          <w:lang w:eastAsia="ru-RU"/>
        </w:rPr>
        <w:t>Соблюдение претензионного порядка разрешения споров является обязательным.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  <w:lang w:eastAsia="ru-RU"/>
        </w:rPr>
        <w:t xml:space="preserve">15.3.1. </w:t>
      </w:r>
      <w:r>
        <w:rPr>
          <w:sz w:val="22"/>
          <w:szCs w:val="22"/>
        </w:rPr>
        <w:t>До предъявления иска, вытекающего из Контракта,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  <w:t>15.3.2.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Контракта. К претензии должны быть приложены копии документов, подтверждающих изложенные в ней обстоятельства.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  <w:t>15.3.3. Сторона, которая получила претензию, обязана ее рассмотреть и в течение 7 (Семи) рабочих дней направить письменный мотивированный ответ другой Стороне.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>
      <w:pPr>
        <w:pStyle w:val="Normal"/>
        <w:tabs>
          <w:tab w:val="left" w:pos="426" w:leader="none"/>
          <w:tab w:val="left" w:pos="708" w:leader="none"/>
        </w:tabs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  <w:t>15.3.4.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Арбитражный суд города Санкт-Петербурга и Ленинградской области.</w:t>
      </w:r>
    </w:p>
    <w:p>
      <w:pPr>
        <w:pStyle w:val="Style36"/>
        <w:tabs>
          <w:tab w:val="clear" w:pos="1134"/>
        </w:tabs>
        <w:ind w:hanging="0"/>
        <w:rPr>
          <w:sz w:val="22"/>
          <w:szCs w:val="22"/>
        </w:rPr>
      </w:pPr>
      <w:r>
        <w:rPr>
          <w:sz w:val="22"/>
          <w:szCs w:val="22"/>
        </w:rPr>
        <w:t>15.5. Приложения к Контракту являются его неотъемлемой частью.</w:t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Приложения к Контракту:</w:t>
      </w:r>
    </w:p>
    <w:p>
      <w:pPr>
        <w:pStyle w:val="NoSpacing"/>
        <w:jc w:val="both"/>
        <w:rPr>
          <w:sz w:val="22"/>
          <w:szCs w:val="22"/>
        </w:rPr>
      </w:pPr>
      <w:r>
        <w:rPr>
          <w:sz w:val="22"/>
          <w:szCs w:val="22"/>
        </w:rPr>
        <w:t>Приложение № 1 – Спецификация;</w:t>
      </w:r>
    </w:p>
    <w:p>
      <w:pPr>
        <w:pStyle w:val="NoSpacing"/>
        <w:jc w:val="both"/>
        <w:rPr>
          <w:sz w:val="22"/>
          <w:szCs w:val="22"/>
        </w:rPr>
      </w:pPr>
      <w:r>
        <w:rPr>
          <w:sz w:val="22"/>
          <w:szCs w:val="22"/>
        </w:rPr>
        <w:t>Приложение № 2 - Акт приема-передачи Товара (образец);</w:t>
      </w:r>
    </w:p>
    <w:p>
      <w:pPr>
        <w:pStyle w:val="NoSpacing"/>
        <w:jc w:val="both"/>
        <w:rPr>
          <w:vertAlign w:val="superscript"/>
        </w:rPr>
      </w:pPr>
      <w:r>
        <w:rPr>
          <w:vertAlign w:val="superscript"/>
        </w:rPr>
      </w:r>
    </w:p>
    <w:p>
      <w:pPr>
        <w:pStyle w:val="Normal"/>
        <w:widowControl w:val="false"/>
        <w:ind w:firstLine="60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16. Реквизиты и подписи Сторон</w:t>
      </w:r>
    </w:p>
    <w:p>
      <w:pPr>
        <w:pStyle w:val="Normal"/>
        <w:widowControl w:val="false"/>
        <w:ind w:firstLine="60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9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80"/>
      </w:tblPr>
      <w:tblGrid>
        <w:gridCol w:w="5092"/>
        <w:gridCol w:w="4891"/>
      </w:tblGrid>
      <w:tr>
        <w:trPr>
          <w:trHeight w:val="1430" w:hRule="atLeast"/>
        </w:trPr>
        <w:tc>
          <w:tcPr>
            <w:tcW w:w="50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16.1. Заказчик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b/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 xml:space="preserve">Санкт-Петербургское государственное бюджетное учреждение здравоохранения «Городская поликлиника № 106» </w:t>
            </w:r>
            <w:r>
              <w:rPr>
                <w:sz w:val="22"/>
                <w:szCs w:val="22"/>
                <w:lang w:eastAsia="ar-SA"/>
              </w:rPr>
              <w:t>(СПб ГБУЗ «Городская поликлиника №106»)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ИНН 7807012783, КПП 780701001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ОГРН 1037819001340, ОКТМО 40355000, ОКАТО 40279562000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ОКОПФ 75203; ОКПО 34346997</w:t>
            </w:r>
          </w:p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Дата постановки на учет в налоговом органе: </w:t>
            </w:r>
            <w:r>
              <w:rPr>
                <w:sz w:val="22"/>
                <w:szCs w:val="22"/>
              </w:rPr>
              <w:t>20.09.1992</w:t>
            </w:r>
          </w:p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Место нахождения и почтовый адрес</w:t>
            </w:r>
            <w:r>
              <w:rPr>
                <w:sz w:val="22"/>
                <w:szCs w:val="22"/>
              </w:rPr>
              <w:t>: 198328, Санкт-Петербург, ул. Рихарда Зорге, д.1, лит. А</w:t>
            </w:r>
            <w:r>
              <w:rPr>
                <w:sz w:val="22"/>
                <w:szCs w:val="22"/>
                <w:u w:val="single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b/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 xml:space="preserve">тел./факс: 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(812) 246-02-00 (секретарь)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(812) 417-66-43 (отдел закупок)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(812) 246-02-26 (главный бухгалтер)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8 (960) 249-27-55(старшая медсестра)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b/>
                <w:b/>
                <w:bCs/>
                <w:sz w:val="22"/>
                <w:szCs w:val="22"/>
                <w:lang w:eastAsia="ar-SA"/>
              </w:rPr>
            </w:pPr>
            <w:r>
              <w:rPr>
                <w:b/>
                <w:bCs/>
                <w:sz w:val="22"/>
                <w:szCs w:val="22"/>
                <w:lang w:eastAsia="ar-SA"/>
              </w:rPr>
              <w:t>Электронная почта: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bCs/>
                <w:sz w:val="22"/>
                <w:szCs w:val="22"/>
                <w:lang w:eastAsia="ar-SA"/>
              </w:rPr>
            </w:pPr>
            <w:hyperlink r:id="rId2">
              <w:r>
                <w:rPr>
                  <w:bCs/>
                  <w:sz w:val="22"/>
                  <w:szCs w:val="22"/>
                  <w:lang w:val="en-US" w:eastAsia="ar-SA"/>
                </w:rPr>
                <w:t>gz</w:t>
              </w:r>
              <w:r>
                <w:rPr>
                  <w:bCs/>
                  <w:sz w:val="22"/>
                  <w:szCs w:val="22"/>
                  <w:lang w:eastAsia="ar-SA"/>
                </w:rPr>
                <w:t>@</w:t>
              </w:r>
              <w:r>
                <w:rPr>
                  <w:bCs/>
                  <w:sz w:val="22"/>
                  <w:szCs w:val="22"/>
                  <w:lang w:val="en-US" w:eastAsia="ar-SA"/>
                </w:rPr>
                <w:t>p</w:t>
              </w:r>
              <w:r>
                <w:rPr>
                  <w:bCs/>
                  <w:sz w:val="22"/>
                  <w:szCs w:val="22"/>
                  <w:lang w:eastAsia="ar-SA"/>
                </w:rPr>
                <w:t>106.</w:t>
              </w:r>
              <w:r>
                <w:rPr>
                  <w:bCs/>
                  <w:sz w:val="22"/>
                  <w:szCs w:val="22"/>
                  <w:lang w:val="en-US" w:eastAsia="ar-SA"/>
                </w:rPr>
                <w:t>org</w:t>
              </w:r>
              <w:r>
                <w:rPr>
                  <w:bCs/>
                  <w:sz w:val="22"/>
                  <w:szCs w:val="22"/>
                  <w:lang w:eastAsia="ar-SA"/>
                </w:rPr>
                <w:t>.</w:t>
              </w:r>
              <w:r>
                <w:rPr>
                  <w:bCs/>
                  <w:sz w:val="22"/>
                  <w:szCs w:val="22"/>
                  <w:lang w:val="en-US" w:eastAsia="ar-SA"/>
                </w:rPr>
                <w:t>ru</w:t>
              </w:r>
            </w:hyperlink>
            <w:r>
              <w:rPr>
                <w:bCs/>
                <w:sz w:val="22"/>
                <w:szCs w:val="22"/>
                <w:lang w:eastAsia="ar-SA"/>
              </w:rPr>
              <w:t xml:space="preserve"> , </w:t>
            </w:r>
            <w:hyperlink r:id="rId3">
              <w:r>
                <w:rPr>
                  <w:bCs/>
                  <w:sz w:val="22"/>
                  <w:szCs w:val="22"/>
                  <w:lang w:val="en-US" w:eastAsia="ar-SA"/>
                </w:rPr>
                <w:t>p</w:t>
              </w:r>
              <w:r>
                <w:rPr>
                  <w:bCs/>
                  <w:sz w:val="22"/>
                  <w:szCs w:val="22"/>
                  <w:lang w:eastAsia="ar-SA"/>
                </w:rPr>
                <w:t>106@</w:t>
              </w:r>
              <w:r>
                <w:rPr>
                  <w:bCs/>
                  <w:sz w:val="22"/>
                  <w:szCs w:val="22"/>
                  <w:lang w:val="en-US" w:eastAsia="ar-SA"/>
                </w:rPr>
                <w:t>zdrav</w:t>
              </w:r>
              <w:r>
                <w:rPr>
                  <w:bCs/>
                  <w:sz w:val="22"/>
                  <w:szCs w:val="22"/>
                  <w:lang w:eastAsia="ar-SA"/>
                </w:rPr>
                <w:t>.</w:t>
              </w:r>
              <w:r>
                <w:rPr>
                  <w:bCs/>
                  <w:sz w:val="22"/>
                  <w:szCs w:val="22"/>
                  <w:lang w:val="en-US" w:eastAsia="ar-SA"/>
                </w:rPr>
                <w:t>spb</w:t>
              </w:r>
              <w:r>
                <w:rPr>
                  <w:bCs/>
                  <w:sz w:val="22"/>
                  <w:szCs w:val="22"/>
                  <w:lang w:eastAsia="ar-SA"/>
                </w:rPr>
                <w:t>.</w:t>
              </w:r>
              <w:r>
                <w:rPr>
                  <w:bCs/>
                  <w:sz w:val="22"/>
                  <w:szCs w:val="22"/>
                  <w:lang w:val="en-US" w:eastAsia="ar-SA"/>
                </w:rPr>
                <w:t>ru</w:t>
              </w:r>
            </w:hyperlink>
            <w:r>
              <w:rPr>
                <w:bCs/>
                <w:sz w:val="22"/>
                <w:szCs w:val="22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b/>
                <w:bCs/>
                <w:sz w:val="22"/>
                <w:szCs w:val="22"/>
                <w:lang w:eastAsia="ar-SA"/>
              </w:rPr>
              <w:t>Банковские реквизиты:</w:t>
            </w:r>
            <w:r>
              <w:rPr>
                <w:sz w:val="22"/>
                <w:szCs w:val="22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64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ИНН 7807012783, КПП 780701001, Получатель: </w:t>
            </w:r>
            <w:r>
              <w:rPr>
                <w:sz w:val="22"/>
                <w:szCs w:val="22"/>
                <w:lang w:bidi="ru-RU"/>
              </w:rPr>
              <w:t>Комитет финансов Санкт-Петербурга (СПб ГБУЗ «Городская поликлиника № 106»), лицевой счет: 0551007, р/с 40102810945370000005, ОКЦ №1 Северо-Западного ГУ Банка России//УФК по Санкт-Петербургу, г. Санкт-Петербург, БИК 014030106, к/с 03224643400000007200</w:t>
            </w:r>
          </w:p>
        </w:tc>
        <w:tc>
          <w:tcPr>
            <w:tcW w:w="489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lineRule="auto" w:line="264"/>
              <w:ind w:firstLine="15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16.2. Поставщик:</w:t>
            </w:r>
          </w:p>
          <w:p>
            <w:pPr>
              <w:pStyle w:val="Style22"/>
              <w:widowControl w:val="fals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</w:r>
          </w:p>
        </w:tc>
      </w:tr>
      <w:tr>
        <w:trPr>
          <w:trHeight w:val="613" w:hRule="atLeast"/>
        </w:trPr>
        <w:tc>
          <w:tcPr>
            <w:tcW w:w="5092" w:type="dxa"/>
            <w:tcBorders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  <w:p>
            <w:pPr>
              <w:pStyle w:val="Normal"/>
              <w:widowControl w:val="false"/>
              <w:ind w:left="456" w:hanging="456"/>
              <w:rPr/>
            </w:pPr>
            <w:r>
              <w:rPr/>
              <w:t>Главный врач</w:t>
            </w:r>
          </w:p>
          <w:p>
            <w:pPr>
              <w:pStyle w:val="Normal"/>
              <w:widowControl w:val="false"/>
              <w:ind w:left="418" w:hanging="418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СПб ГБУЗ «Городская поликлиника № 106»</w:t>
            </w:r>
          </w:p>
          <w:p>
            <w:pPr>
              <w:pStyle w:val="Normal"/>
              <w:widowControl w:val="false"/>
              <w:ind w:left="418" w:hanging="418"/>
              <w:rPr/>
            </w:pPr>
            <w:r>
              <w:rPr>
                <w:sz w:val="22"/>
                <w:szCs w:val="22"/>
                <w:lang w:eastAsia="ar-SA"/>
              </w:rPr>
              <w:t>В. Г. Кунин</w:t>
            </w:r>
          </w:p>
        </w:tc>
        <w:tc>
          <w:tcPr>
            <w:tcW w:w="4891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tLeast" w:lin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Поставщика: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jc w:val="right"/>
        <w:rPr>
          <w:sz w:val="22"/>
          <w:szCs w:val="22"/>
        </w:rPr>
      </w:pPr>
      <w:r>
        <w:br w:type="page"/>
      </w:r>
      <w:r>
        <w:rPr>
          <w:sz w:val="22"/>
          <w:szCs w:val="22"/>
        </w:rPr>
        <w:t>Приложение № 1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60" w:leader="none"/>
        </w:tabs>
        <w:jc w:val="right"/>
        <w:outlineLvl w:val="1"/>
        <w:rPr>
          <w:sz w:val="22"/>
          <w:szCs w:val="22"/>
        </w:rPr>
      </w:pPr>
      <w:r>
        <w:rPr>
          <w:sz w:val="22"/>
          <w:szCs w:val="22"/>
        </w:rPr>
        <w:t>к Контракту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СПЕЦИФИКАЦИЯ 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sz w:val="22"/>
          <w:szCs w:val="22"/>
          <w:lang w:eastAsia="ar-SA"/>
        </w:rPr>
      </w:pPr>
      <w:r>
        <w:rPr>
          <w:sz w:val="22"/>
          <w:szCs w:val="22"/>
        </w:rPr>
        <w:t xml:space="preserve">Поставка </w:t>
      </w:r>
      <w:r>
        <w:rPr>
          <w:b/>
          <w:sz w:val="22"/>
          <w:szCs w:val="22"/>
          <w:lang w:eastAsia="ar-SA"/>
        </w:rPr>
        <w:t>шин пневматических для легкового автомобиля для нужд СПб ГБУЗ «Городская поликлиника № 106» в 2026 году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090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95"/>
        <w:gridCol w:w="2539"/>
        <w:gridCol w:w="2905"/>
        <w:gridCol w:w="849"/>
        <w:gridCol w:w="600"/>
        <w:gridCol w:w="1002"/>
        <w:gridCol w:w="1120"/>
        <w:gridCol w:w="1492"/>
      </w:tblGrid>
      <w:tr>
        <w:trPr>
          <w:tblHeader w:val="true"/>
          <w:trHeight w:val="582" w:hRule="atLeast"/>
          <w:cantSplit w:val="true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овара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Характеристики  товара 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Количество, </w:t>
            </w:r>
          </w:p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ед. 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Цена за единицу, 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стоимость, 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 товара</w:t>
            </w:r>
          </w:p>
        </w:tc>
      </w:tr>
      <w:tr>
        <w:trPr>
          <w:cantSplit w:val="true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ind w:lef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Шина пневматическая для легкового автомобиля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ККН</w:t>
            </w:r>
            <w:r>
              <w:rPr>
                <w:b/>
                <w:bCs/>
                <w:sz w:val="16"/>
                <w:szCs w:val="16"/>
              </w:rPr>
              <w:t>22.11.11.000-00</w:t>
            </w:r>
            <w:r>
              <w:rPr>
                <w:b/>
                <w:bCs/>
                <w:sz w:val="16"/>
                <w:szCs w:val="16"/>
              </w:rPr>
              <w:t>3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Тип транспортного средства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качественная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Легковой автомобиль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Соответствие нормативно-технической документации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ТУ производителя, ГОСТ Р 52900-2007, ГОСТ Р ИСО 4000-1-2005, ГОСТ 4754-97,</w:t>
            </w:r>
          </w:p>
          <w:p>
            <w:pPr>
              <w:pStyle w:val="Normal"/>
              <w:widowControl w:val="false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КТРУ</w:t>
            </w:r>
            <w:r>
              <w:rPr>
                <w:b/>
                <w:bCs/>
                <w:sz w:val="16"/>
                <w:szCs w:val="16"/>
              </w:rPr>
              <w:t>22.11.11.000-00000007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Категория использования шины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Обычная (дорожная)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Номинальный посадочный диаметр обода Дюйм (25,4 мм)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Номинальная ширина профиля Миллиметр 205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Способ герметизации шины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Бескамерная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Номинальное отношение высоты профиля шины к ее ширине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Процент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Индекс категории скорости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Индекс нагрузки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≥ </w:t>
            </w:r>
            <w:r>
              <w:rPr>
                <w:sz w:val="16"/>
                <w:szCs w:val="16"/>
              </w:rPr>
              <w:t>90 и &lt; 100 ;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cantSplit w:val="true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ind w:lef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Шина пневматическая для легкового автомобиля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ККН22.11.11.000-003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Тип транспортного средства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качественная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Легковой автомобиль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Соответствие нормативно-технической документации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ТУ производителя, ГОСТ Р 52900-2007, ГОСТ Р ИСО 4000-1-2005, ГОСТ 4754-97,</w:t>
            </w:r>
          </w:p>
          <w:p>
            <w:pPr>
              <w:pStyle w:val="Normal"/>
              <w:widowControl w:val="false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КТРУ</w:t>
            </w:r>
            <w:r>
              <w:rPr>
                <w:b/>
                <w:bCs/>
                <w:sz w:val="16"/>
                <w:szCs w:val="16"/>
              </w:rPr>
              <w:t>22.11.11.000-00000007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Категория использования шины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Обычная (дорожная)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Номинальный посадочный диаметр обода</w:t>
              <w:tab/>
              <w:t>Дюйм (25,4 мм)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Номинальная ширина профиляМиллиметр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Способ герметизации шины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Бескамерная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Номинальное отношение высоты профиля шины к ее ширине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Процент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Индекс категории скорости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Индекс нагрузки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≥ </w:t>
            </w:r>
            <w:r>
              <w:rPr>
                <w:sz w:val="16"/>
                <w:szCs w:val="16"/>
              </w:rPr>
              <w:t>80 и &lt; 90 ;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cantSplit w:val="true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ind w:lef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Шина пневматическая для легкового автомобиля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ККН</w:t>
            </w:r>
            <w:r>
              <w:rPr>
                <w:b/>
                <w:bCs/>
                <w:sz w:val="16"/>
                <w:szCs w:val="16"/>
              </w:rPr>
              <w:t>22.11.11.000-002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Тип транспортного средства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качественная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Легковой автомобиль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Соответствие нормативно-технической документации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ТУ производителя, ГОСТ Р 52900-2007, ГОСТ Р ИСО 4000-1-2005, ГОСТ 4754-97,</w:t>
            </w:r>
          </w:p>
          <w:p>
            <w:pPr>
              <w:pStyle w:val="Normal"/>
              <w:widowControl w:val="false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КТРУ</w:t>
            </w:r>
            <w:r>
              <w:rPr>
                <w:b/>
                <w:bCs/>
                <w:sz w:val="16"/>
                <w:szCs w:val="16"/>
              </w:rPr>
              <w:t>22.11.11.000-00000007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Категория использования шины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Обычная (дорожная)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Номинальный посадочный диаметр обода Дюйм (25,4 мм)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Номинальная ширина профиля Миллиметр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Способ герметизации шины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Бескамерная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Номинальное отношение высоты профиля шины к ее ширине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Процент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Индекс категории скорости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 ;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Индекс нагрузки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≥ </w:t>
            </w:r>
            <w:r>
              <w:rPr>
                <w:sz w:val="16"/>
                <w:szCs w:val="16"/>
              </w:rPr>
              <w:t>80 и &lt; 90 ;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cantSplit w:val="true"/>
        </w:trPr>
        <w:tc>
          <w:tcPr>
            <w:tcW w:w="2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Итого: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</w:t>
            </w:r>
          </w:p>
        </w:tc>
      </w:tr>
    </w:tbl>
    <w:p>
      <w:pPr>
        <w:pStyle w:val="16"/>
        <w:tabs>
          <w:tab w:val="clear" w:pos="708"/>
          <w:tab w:val="left" w:pos="480" w:leader="none"/>
        </w:tabs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>Итого:</w:t>
      </w:r>
    </w:p>
    <w:p>
      <w:pPr>
        <w:pStyle w:val="16"/>
        <w:tabs>
          <w:tab w:val="clear" w:pos="708"/>
          <w:tab w:val="left" w:pos="480" w:leader="none"/>
        </w:tabs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16"/>
        <w:tabs>
          <w:tab w:val="clear" w:pos="708"/>
          <w:tab w:val="left" w:pos="480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025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636"/>
        <w:gridCol w:w="4617"/>
      </w:tblGrid>
      <w:tr>
        <w:trPr/>
        <w:tc>
          <w:tcPr>
            <w:tcW w:w="5636" w:type="dxa"/>
            <w:tcBorders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  <w:p>
            <w:pPr>
              <w:pStyle w:val="Normal"/>
              <w:widowControl w:val="false"/>
              <w:ind w:left="418" w:hanging="41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врач</w:t>
            </w:r>
          </w:p>
          <w:p>
            <w:pPr>
              <w:pStyle w:val="Normal"/>
              <w:widowControl w:val="false"/>
              <w:ind w:left="418" w:hanging="418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СПб ГБУЗ «Городская поликлиника № 106»</w:t>
            </w:r>
          </w:p>
          <w:p>
            <w:pPr>
              <w:pStyle w:val="Normal"/>
              <w:widowControl w:val="false"/>
              <w:ind w:left="418" w:hanging="418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ar-SA"/>
              </w:rPr>
              <w:t>В. Г. Кунин</w:t>
            </w:r>
          </w:p>
        </w:tc>
        <w:tc>
          <w:tcPr>
            <w:tcW w:w="4617" w:type="dxa"/>
            <w:tcBorders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Поставщика: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sectPr>
          <w:footerReference w:type="even" r:id="rId4"/>
          <w:footerReference w:type="default" r:id="rId5"/>
          <w:type w:val="nextPage"/>
          <w:pgSz w:w="11906" w:h="16838"/>
          <w:pgMar w:left="720" w:right="720" w:gutter="0" w:header="0" w:top="720" w:footer="397" w:bottom="720"/>
          <w:pgNumType w:start="2" w:fmt="decimal"/>
          <w:formProt w:val="false"/>
          <w:titlePg/>
          <w:textDirection w:val="lrTb"/>
          <w:docGrid w:type="default" w:linePitch="326" w:charSpace="0"/>
        </w:sect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right"/>
        <w:rPr/>
      </w:pPr>
      <w:r>
        <w:rPr/>
        <w:t>Приложение № 2 к Контракту</w:t>
      </w:r>
    </w:p>
    <w:p>
      <w:pPr>
        <w:pStyle w:val="Normal"/>
        <w:jc w:val="right"/>
        <w:rPr/>
      </w:pPr>
      <w:r>
        <w:rPr/>
        <w:t>Образец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bookmarkStart w:id="0" w:name="_Toc168159799"/>
      <w:bookmarkStart w:id="1" w:name="_Toc168144813"/>
      <w:bookmarkStart w:id="2" w:name="_Toc157679470"/>
      <w:bookmarkEnd w:id="0"/>
      <w:bookmarkEnd w:id="1"/>
      <w:bookmarkEnd w:id="2"/>
      <w:r>
        <w:rPr/>
        <w:t>АКТ ПРИЕМА-ПЕРЕДАЧИ ТОВАРА</w:t>
        <w:br/>
        <w:t>ПО КОНТРАКТУ ОТ «___» ____________ 202_  № _______</w:t>
      </w:r>
    </w:p>
    <w:p>
      <w:pPr>
        <w:pStyle w:val="Normal"/>
        <w:jc w:val="center"/>
        <w:rPr/>
      </w:pPr>
      <w:r>
        <w:rPr/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"Поставщик" _________________ (полностью наименование (для юридического лица), фамилия,  имя,  отчество (при наличии) (для физического лица) в лице ____________________, действующего на основании __________________, с одной стороны, и "Заказчик" _________ (полностью наименование Заказчика) в лице _______________, действующего на основании _______________ (устав, положение, доверенность), с другой стороны, составили настоящий Акт о следующем: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Поставщик поставил, а Заказчик принял следующий Товар в   соответствии   со   Спецификацией  (Приложение №1</w:t>
      </w:r>
      <w:r>
        <w:rPr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   Контракту) в установленные сроки: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1. Наименование Товара: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2. Единица измерения: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3. Количество в единицах измерения: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4. Стоимость ______ (сумма прописью) руб. ____ коп.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В  том  числе: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НДС  __%  _______  (сумма  прописью)  руб. __ коп. (если облагается НДС)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5. Серия Товара 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6. Срок годности Товара: 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Представленные документы подтверждают соответствие Товара установленным законодательством  Российской  Федерации  требованиям  и  остаточному сроку годности.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  настоящему  Акту  прилагаются  следующие  документы,  подтверждающие поставку Товара: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1. Накладная от "__" _________ 20__ г. N 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2. Счет-фактура (при наличии) от "__" ______ 20__ г. N 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3. Копии   документов,    подтверждающих   соответствие  Товара, от "__" ______ 20__ г. N 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4. Копия Спецификации (Приложение №1</w:t>
      </w:r>
      <w:r>
        <w:rPr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 Контракту).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96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824"/>
        <w:gridCol w:w="4823"/>
      </w:tblGrid>
      <w:tr>
        <w:trPr/>
        <w:tc>
          <w:tcPr>
            <w:tcW w:w="4824" w:type="dxa"/>
            <w:tcBorders/>
          </w:tcPr>
          <w:p>
            <w:pPr>
              <w:pStyle w:val="Normal"/>
              <w:widowControl w:val="false"/>
              <w:ind w:left="456" w:hanging="456"/>
              <w:rPr/>
            </w:pPr>
            <w:r>
              <w:rPr/>
              <w:t>От Поставщика:</w:t>
            </w:r>
          </w:p>
          <w:p>
            <w:pPr>
              <w:pStyle w:val="Normal"/>
              <w:widowControl w:val="false"/>
              <w:ind w:left="456" w:hanging="456"/>
              <w:rPr/>
            </w:pPr>
            <w:r>
              <w:rPr/>
              <w:t>_________________________</w:t>
            </w:r>
          </w:p>
          <w:p>
            <w:pPr>
              <w:pStyle w:val="Normal"/>
              <w:widowControl w:val="false"/>
              <w:ind w:left="456" w:hanging="456"/>
              <w:rPr/>
            </w:pPr>
            <w:r>
              <w:rPr/>
              <w:t>М.П.</w:t>
            </w:r>
          </w:p>
          <w:p>
            <w:pPr>
              <w:pStyle w:val="Normal"/>
              <w:widowControl w:val="false"/>
              <w:ind w:left="456" w:hanging="456"/>
              <w:rPr/>
            </w:pPr>
            <w:r>
              <w:rPr/>
              <w:t>«___» ______________ 20___ г.</w:t>
            </w:r>
          </w:p>
        </w:tc>
        <w:tc>
          <w:tcPr>
            <w:tcW w:w="4823" w:type="dxa"/>
            <w:tcBorders/>
          </w:tcPr>
          <w:p>
            <w:pPr>
              <w:pStyle w:val="Normal"/>
              <w:widowControl w:val="false"/>
              <w:ind w:left="456" w:hanging="456"/>
              <w:rPr/>
            </w:pPr>
            <w:r>
              <w:rPr/>
              <w:t>От Заказчика:</w:t>
            </w:r>
          </w:p>
          <w:p>
            <w:pPr>
              <w:pStyle w:val="Normal"/>
              <w:widowControl w:val="false"/>
              <w:ind w:left="456" w:hanging="456"/>
              <w:rPr/>
            </w:pPr>
            <w:r>
              <w:rPr/>
              <w:t>__________________________</w:t>
            </w:r>
          </w:p>
          <w:p>
            <w:pPr>
              <w:pStyle w:val="Normal"/>
              <w:widowControl w:val="false"/>
              <w:ind w:left="456" w:hanging="456"/>
              <w:rPr/>
            </w:pPr>
            <w:r>
              <w:rPr/>
              <w:t>М.П.</w:t>
            </w:r>
          </w:p>
          <w:p>
            <w:pPr>
              <w:pStyle w:val="Normal"/>
              <w:widowControl w:val="false"/>
              <w:ind w:left="456" w:hanging="456"/>
              <w:rPr/>
            </w:pPr>
            <w:r>
              <w:rPr/>
              <w:t>«___» ______________ 20___ г.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default" r:id="rId6"/>
      <w:type w:val="nextPage"/>
      <w:pgSz w:w="11906" w:h="16838"/>
      <w:pgMar w:left="720" w:right="720" w:gutter="0" w:header="0" w:top="720" w:footer="397" w:bottom="72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swiss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Myriad Pro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ind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7"/>
                            <w:pBdr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0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7"/>
                      <w:pBdr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465309866"/>
    </w:sdtPr>
    <w:sdtContent>
      <w:p>
        <w:pPr>
          <w:pStyle w:val="Style27"/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10</w:t>
        </w:r>
        <w:r>
          <w:rPr>
            <w:sz w:val="16"/>
            <w:szCs w:val="16"/>
          </w:rPr>
          <w:fldChar w:fldCharType="end"/>
        </w:r>
      </w:p>
    </w:sdtContent>
  </w:sdt>
  <w:p>
    <w:pPr>
      <w:pStyle w:val="Style27"/>
      <w:ind w:right="360" w:hanging="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048203131"/>
    </w:sdtPr>
    <w:sdtContent>
      <w:p>
        <w:pPr>
          <w:pStyle w:val="Style27"/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11</w:t>
        </w:r>
        <w:r>
          <w:rPr>
            <w:sz w:val="16"/>
            <w:szCs w:val="16"/>
          </w:rPr>
          <w:fldChar w:fldCharType="end"/>
        </w:r>
      </w:p>
    </w:sdtContent>
  </w:sdt>
  <w:p>
    <w:pPr>
      <w:pStyle w:val="Style27"/>
      <w:ind w:right="360" w:hanging="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1.%1."/>
      <w:lvlJc w:val="left"/>
      <w:pPr>
        <w:tabs>
          <w:tab w:val="num" w:pos="816"/>
        </w:tabs>
        <w:ind w:left="816" w:hanging="360"/>
      </w:pPr>
      <w:rPr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2.%2."/>
      <w:lvlJc w:val="left"/>
      <w:pPr>
        <w:tabs>
          <w:tab w:val="num" w:pos="0"/>
        </w:tabs>
        <w:ind w:left="792" w:hanging="432"/>
      </w:pPr>
      <w:rPr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sz w:val="22"/>
        <w:b w:val="false"/>
        <w:szCs w:val="22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center"/>
      <w:pPr>
        <w:tabs>
          <w:tab w:val="num" w:pos="0"/>
        </w:tabs>
        <w:ind w:left="0" w:hanging="0"/>
      </w:pPr>
      <w:rPr>
        <w:i w:val="false"/>
        <w:b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 w:val="false"/>
        <w:kern w:val="0"/>
        <w:szCs w:val="24"/>
        <w:iCs w:val="false"/>
        <w:bCs w:val="false"/>
        <w:w w:val="100"/>
        <w:vanish w:val="false"/>
        <w:rFonts w:cs="Times New Roman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i w:val="false"/>
        <w:b w:val="false"/>
        <w:iCs w:val="false"/>
        <w:bCs w:val="false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pacing w:val="0"/>
        <w:i w:val="false"/>
        <w:u w:val="none"/>
        <w:b w:val="false"/>
        <w:kern w:val="0"/>
        <w:iCs w:val="false"/>
        <w:bCs w:val="false"/>
        <w:w w:val="100"/>
        <w:vanish w:val="false"/>
        <w:rFonts w:cs="Times New Roman"/>
        <w:color w:val="auto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/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3"/>
      <w:numFmt w:val="decimal"/>
      <w:lvlText w:val="%1.%2."/>
      <w:lvlJc w:val="left"/>
      <w:pPr>
        <w:tabs>
          <w:tab w:val="num" w:pos="0"/>
        </w:tabs>
        <w:ind w:left="765" w:hanging="405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6"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4"/>
      <w:numFmt w:val="decimal"/>
      <w:lvlText w:val="%1.%2."/>
      <w:lvlJc w:val="left"/>
      <w:pPr>
        <w:tabs>
          <w:tab w:val="num" w:pos="0"/>
        </w:tabs>
        <w:ind w:left="36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/>
    </w:lvl>
  </w:abstractNum>
  <w:abstractNum w:abstractNumId="9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4"/>
      <w:numFmt w:val="decimal"/>
      <w:lvlText w:val="%1.%2."/>
      <w:lvlJc w:val="left"/>
      <w:pPr>
        <w:tabs>
          <w:tab w:val="num" w:pos="0"/>
        </w:tabs>
        <w:ind w:left="36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64"/>
  <w:defaultTabStop w:val="709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uiPriority="9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Top of Form" w:uiPriority="99"/>
    <w:lsdException w:name="HTML Bottom of Form" w:uiPriority="99"/>
    <w:lsdException w:name="Normal (Web)" w:uiPriority="99"/>
    <w:lsdException w:name="No List" w:uiPriority="99"/>
    <w:lsdException w:name="Balloon Text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customStyle="1">
    <w:name w:val="Normal"/>
    <w:link w:val="Style19"/>
    <w:qFormat/>
    <w:rsid w:val="00657242"/>
    <w:pPr>
      <w:widowControl/>
      <w:tabs>
        <w:tab w:val="clear" w:pos="709"/>
        <w:tab w:val="left" w:pos="708" w:leader="none"/>
      </w:tabs>
      <w:suppressAutoHyphens w:val="true"/>
      <w:bidi w:val="0"/>
      <w:spacing w:lineRule="atLeast" w:line="100" w:before="0" w:after="0"/>
      <w:jc w:val="left"/>
    </w:pPr>
    <w:rPr>
      <w:rFonts w:eastAsia="Calibri" w:ascii="Times New Roman" w:hAnsi="Times New Roman" w:cs="Times New Roman"/>
      <w:color w:val="auto"/>
      <w:kern w:val="0"/>
      <w:sz w:val="24"/>
      <w:szCs w:val="24"/>
      <w:lang w:eastAsia="ar-SA" w:val="ru-RU" w:bidi="ar-SA"/>
    </w:rPr>
  </w:style>
  <w:style w:type="paragraph" w:styleId="1">
    <w:name w:val="Heading 1"/>
    <w:basedOn w:val="3"/>
    <w:next w:val="Normal"/>
    <w:link w:val="14"/>
    <w:qFormat/>
    <w:rsid w:val="002727eb"/>
    <w:pPr>
      <w:suppressAutoHyphens w:val="true"/>
      <w:spacing w:before="240" w:after="360"/>
      <w:ind w:firstLine="567"/>
      <w:jc w:val="both"/>
      <w:outlineLvl w:val="0"/>
    </w:pPr>
    <w:rPr>
      <w:rFonts w:ascii="Times New Roman" w:hAnsi="Times New Roman"/>
      <w:bCs w:val="false"/>
      <w:color w:val="000000"/>
      <w:spacing w:val="4"/>
      <w:sz w:val="28"/>
      <w:szCs w:val="20"/>
      <w:lang w:eastAsia="ar-SA"/>
    </w:rPr>
  </w:style>
  <w:style w:type="paragraph" w:styleId="2">
    <w:name w:val="Heading 2"/>
    <w:basedOn w:val="Normal"/>
    <w:next w:val="Normal"/>
    <w:link w:val="21"/>
    <w:uiPriority w:val="99"/>
    <w:qFormat/>
    <w:rsid w:val="003d50df"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link w:val="321"/>
    <w:uiPriority w:val="9"/>
    <w:semiHidden/>
    <w:unhideWhenUsed/>
    <w:qFormat/>
    <w:rsid w:val="002727eb"/>
    <w:pPr>
      <w:keepNext w:val="true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9">
    <w:name w:val="Heading 9"/>
    <w:basedOn w:val="Normal"/>
    <w:next w:val="Normal"/>
    <w:link w:val="91"/>
    <w:semiHidden/>
    <w:unhideWhenUsed/>
    <w:qFormat/>
    <w:rsid w:val="00ee3078"/>
    <w:pPr>
      <w:keepNext w:val="true"/>
      <w:keepLines/>
      <w:spacing w:before="200" w:after="0"/>
      <w:outlineLvl w:val="8"/>
    </w:pPr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uiPriority w:val="99"/>
    <w:qFormat/>
    <w:rsid w:val="003d50df"/>
    <w:rPr/>
  </w:style>
  <w:style w:type="character" w:styleId="31" w:customStyle="1">
    <w:name w:val="Основной текст с отступом 3 Знак"/>
    <w:basedOn w:val="DefaultParagraphFont"/>
    <w:link w:val="BodyTextIndent3"/>
    <w:qFormat/>
    <w:rsid w:val="007e6395"/>
    <w:rPr>
      <w:sz w:val="16"/>
      <w:szCs w:val="16"/>
      <w:lang w:val="ru-RU" w:eastAsia="ru-RU" w:bidi="ar-SA"/>
    </w:rPr>
  </w:style>
  <w:style w:type="character" w:styleId="Strong">
    <w:name w:val="Strong"/>
    <w:basedOn w:val="DefaultParagraphFont"/>
    <w:qFormat/>
    <w:rsid w:val="007e6395"/>
    <w:rPr>
      <w:b/>
      <w:bCs/>
    </w:rPr>
  </w:style>
  <w:style w:type="character" w:styleId="Style10">
    <w:name w:val="Emphasis"/>
    <w:basedOn w:val="DefaultParagraphFont"/>
    <w:qFormat/>
    <w:rsid w:val="007e6395"/>
    <w:rPr>
      <w:i/>
      <w:iCs/>
    </w:rPr>
  </w:style>
  <w:style w:type="character" w:styleId="A2" w:customStyle="1">
    <w:name w:val="A2"/>
    <w:qFormat/>
    <w:rsid w:val="00507b71"/>
    <w:rPr>
      <w:rFonts w:ascii="Myriad Pro" w:hAnsi="Myriad Pro" w:eastAsia="Times New Roman"/>
      <w:color w:val="000000"/>
      <w:sz w:val="20"/>
    </w:rPr>
  </w:style>
  <w:style w:type="character" w:styleId="Style11">
    <w:name w:val="Hyperlink"/>
    <w:basedOn w:val="DefaultParagraphFont"/>
    <w:uiPriority w:val="99"/>
    <w:rsid w:val="0034495a"/>
    <w:rPr>
      <w:color w:val="0000FF"/>
      <w:u w:val="single"/>
    </w:rPr>
  </w:style>
  <w:style w:type="character" w:styleId="11" w:customStyle="1">
    <w:name w:val="стиль1"/>
    <w:basedOn w:val="DefaultParagraphFont"/>
    <w:qFormat/>
    <w:rsid w:val="00513235"/>
    <w:rPr/>
  </w:style>
  <w:style w:type="character" w:styleId="Style12" w:customStyle="1">
    <w:name w:val="Колонтитул_"/>
    <w:basedOn w:val="DefaultParagraphFont"/>
    <w:link w:val="Style26"/>
    <w:qFormat/>
    <w:rsid w:val="00513235"/>
    <w:rPr>
      <w:lang w:bidi="ar-SA"/>
    </w:rPr>
  </w:style>
  <w:style w:type="character" w:styleId="Style13" w:customStyle="1">
    <w:name w:val="Основной текст Знак"/>
    <w:basedOn w:val="DefaultParagraphFont"/>
    <w:qFormat/>
    <w:rsid w:val="00513235"/>
    <w:rPr>
      <w:rFonts w:ascii="Tahoma" w:hAnsi="Tahoma"/>
      <w:sz w:val="19"/>
      <w:szCs w:val="19"/>
      <w:lang w:bidi="ar-SA"/>
    </w:rPr>
  </w:style>
  <w:style w:type="character" w:styleId="8" w:customStyle="1">
    <w:name w:val="Основной текст (8)_"/>
    <w:basedOn w:val="DefaultParagraphFont"/>
    <w:link w:val="811"/>
    <w:qFormat/>
    <w:rsid w:val="00513235"/>
    <w:rPr>
      <w:sz w:val="19"/>
      <w:szCs w:val="19"/>
      <w:lang w:bidi="ar-SA"/>
    </w:rPr>
  </w:style>
  <w:style w:type="character" w:styleId="82pt" w:customStyle="1">
    <w:name w:val="Основной текст (8) + Интервал 2 pt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styleId="82pt2" w:customStyle="1">
    <w:name w:val="Основной текст (8) + Интервал 2 pt2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styleId="82pt1" w:customStyle="1">
    <w:name w:val="Основной текст (8) + Интервал 2 pt1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styleId="81" w:customStyle="1">
    <w:name w:val="Основной текст (8)"/>
    <w:basedOn w:val="8"/>
    <w:qFormat/>
    <w:rsid w:val="00513235"/>
    <w:rPr>
      <w:rFonts w:ascii="Times New Roman" w:hAnsi="Times New Roman" w:cs="Times New Roman"/>
      <w:spacing w:val="0"/>
      <w:sz w:val="19"/>
      <w:szCs w:val="19"/>
      <w:lang w:bidi="ar-SA"/>
    </w:rPr>
  </w:style>
  <w:style w:type="character" w:styleId="Style14" w:customStyle="1">
    <w:name w:val="Подпись к картинке_"/>
    <w:basedOn w:val="DefaultParagraphFont"/>
    <w:link w:val="Style31"/>
    <w:qFormat/>
    <w:rsid w:val="00513235"/>
    <w:rPr>
      <w:sz w:val="23"/>
      <w:szCs w:val="23"/>
      <w:lang w:bidi="ar-SA"/>
    </w:rPr>
  </w:style>
  <w:style w:type="character" w:styleId="Style15" w:customStyle="1">
    <w:name w:val="Верхний колонтитул Знак"/>
    <w:qFormat/>
    <w:locked/>
    <w:rsid w:val="001229db"/>
    <w:rPr>
      <w:sz w:val="24"/>
      <w:szCs w:val="24"/>
      <w:lang w:val="ru-RU" w:eastAsia="ru-RU" w:bidi="ar-SA"/>
    </w:rPr>
  </w:style>
  <w:style w:type="character" w:styleId="HeaderChar" w:customStyle="1">
    <w:name w:val="Header Char"/>
    <w:basedOn w:val="DefaultParagraphFont"/>
    <w:qFormat/>
    <w:locked/>
    <w:rsid w:val="00c8513e"/>
    <w:rPr>
      <w:rFonts w:cs="Times New Roman"/>
      <w:sz w:val="24"/>
      <w:lang w:val="ru-RU" w:eastAsia="ru-RU"/>
    </w:rPr>
  </w:style>
  <w:style w:type="character" w:styleId="Style16" w:customStyle="1">
    <w:name w:val="Нижний колонтитул Знак"/>
    <w:basedOn w:val="DefaultParagraphFont"/>
    <w:uiPriority w:val="99"/>
    <w:qFormat/>
    <w:locked/>
    <w:rsid w:val="00c8513e"/>
    <w:rPr>
      <w:sz w:val="24"/>
      <w:szCs w:val="24"/>
      <w:lang w:val="ru-RU" w:eastAsia="ru-RU" w:bidi="ar-SA"/>
    </w:rPr>
  </w:style>
  <w:style w:type="character" w:styleId="ConsPlusNormal" w:customStyle="1">
    <w:name w:val="ConsPlusNormal Знак"/>
    <w:link w:val="ConsPlusNormal1"/>
    <w:qFormat/>
    <w:locked/>
    <w:rsid w:val="009b01f9"/>
    <w:rPr>
      <w:rFonts w:ascii="Arial" w:hAnsi="Arial" w:cs="Arial"/>
      <w:lang w:val="ru-RU" w:eastAsia="ru-RU" w:bidi="ar-SA"/>
    </w:rPr>
  </w:style>
  <w:style w:type="character" w:styleId="21" w:customStyle="1">
    <w:name w:val="Заголовок 2 Знак"/>
    <w:basedOn w:val="DefaultParagraphFont"/>
    <w:uiPriority w:val="99"/>
    <w:qFormat/>
    <w:locked/>
    <w:rsid w:val="008325ec"/>
    <w:rPr>
      <w:rFonts w:ascii="Arial" w:hAnsi="Arial" w:cs="Arial"/>
      <w:b/>
      <w:bCs/>
      <w:i/>
      <w:iCs/>
      <w:sz w:val="28"/>
      <w:szCs w:val="28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8325ec"/>
    <w:rPr>
      <w:rFonts w:cs="Times New Roman"/>
      <w:sz w:val="24"/>
      <w:szCs w:val="24"/>
    </w:rPr>
  </w:style>
  <w:style w:type="character" w:styleId="12" w:customStyle="1">
    <w:name w:val="Знак Знак1"/>
    <w:basedOn w:val="DefaultParagraphFont"/>
    <w:uiPriority w:val="99"/>
    <w:qFormat/>
    <w:rsid w:val="008325ec"/>
    <w:rPr>
      <w:rFonts w:cs="Times New Roman"/>
      <w:sz w:val="23"/>
      <w:szCs w:val="23"/>
      <w:lang w:bidi="ar-SA"/>
    </w:rPr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locked/>
    <w:rsid w:val="008325ec"/>
    <w:rPr>
      <w:rFonts w:ascii="Tahoma" w:hAnsi="Tahoma" w:cs="Tahoma"/>
      <w:sz w:val="16"/>
      <w:szCs w:val="16"/>
    </w:rPr>
  </w:style>
  <w:style w:type="character" w:styleId="Style18">
    <w:name w:val="FollowedHyperlink"/>
    <w:basedOn w:val="DefaultParagraphFont"/>
    <w:uiPriority w:val="99"/>
    <w:unhideWhenUsed/>
    <w:rsid w:val="008325ec"/>
    <w:rPr>
      <w:color w:val="800080"/>
      <w:u w:val="single"/>
    </w:rPr>
  </w:style>
  <w:style w:type="character" w:styleId="Z" w:customStyle="1">
    <w:name w:val="z-Начало формы Знак"/>
    <w:basedOn w:val="DefaultParagraphFont"/>
    <w:link w:val="HTMLTopofForm"/>
    <w:uiPriority w:val="99"/>
    <w:qFormat/>
    <w:rsid w:val="00623bd1"/>
    <w:rPr>
      <w:rFonts w:ascii="Arial" w:hAnsi="Arial" w:cs="Arial"/>
      <w:vanish/>
      <w:sz w:val="16"/>
      <w:szCs w:val="16"/>
    </w:rPr>
  </w:style>
  <w:style w:type="character" w:styleId="Z1" w:customStyle="1">
    <w:name w:val="z-Конец формы Знак"/>
    <w:basedOn w:val="DefaultParagraphFont"/>
    <w:link w:val="HTMLBottomofForm"/>
    <w:uiPriority w:val="99"/>
    <w:qFormat/>
    <w:rsid w:val="00623bd1"/>
    <w:rPr>
      <w:rFonts w:ascii="Arial" w:hAnsi="Arial" w:cs="Arial"/>
      <w:vanish/>
      <w:sz w:val="16"/>
      <w:szCs w:val="16"/>
    </w:rPr>
  </w:style>
  <w:style w:type="character" w:styleId="13" w:customStyle="1">
    <w:name w:val="Основной текст Знак1"/>
    <w:basedOn w:val="DefaultParagraphFont"/>
    <w:uiPriority w:val="99"/>
    <w:semiHidden/>
    <w:qFormat/>
    <w:rsid w:val="00be5f5a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4" w:customStyle="1">
    <w:name w:val="Заголовок 1 Знак"/>
    <w:basedOn w:val="DefaultParagraphFont"/>
    <w:qFormat/>
    <w:rsid w:val="002727eb"/>
    <w:rPr>
      <w:b/>
      <w:color w:val="000000"/>
      <w:spacing w:val="4"/>
      <w:sz w:val="28"/>
      <w:lang w:eastAsia="ar-SA"/>
    </w:rPr>
  </w:style>
  <w:style w:type="character" w:styleId="32" w:customStyle="1">
    <w:name w:val="Заголовок 3 Знак"/>
    <w:basedOn w:val="DefaultParagraphFont"/>
    <w:uiPriority w:val="9"/>
    <w:semiHidden/>
    <w:qFormat/>
    <w:rsid w:val="002727eb"/>
    <w:rPr>
      <w:rFonts w:ascii="Cambria" w:hAnsi="Cambria" w:eastAsia="Times New Roman" w:cs="Times New Roman"/>
      <w:b/>
      <w:bCs/>
      <w:color w:val="4F81BD"/>
      <w:sz w:val="24"/>
      <w:szCs w:val="24"/>
      <w:lang w:eastAsia="ru-RU"/>
    </w:rPr>
  </w:style>
  <w:style w:type="character" w:styleId="311" w:customStyle="1">
    <w:name w:val="Заголовок 3 Знак1"/>
    <w:basedOn w:val="DefaultParagraphFont"/>
    <w:link w:val="312"/>
    <w:uiPriority w:val="9"/>
    <w:semiHidden/>
    <w:qFormat/>
    <w:rsid w:val="002727eb"/>
    <w:rPr>
      <w:rFonts w:ascii="Cambria" w:hAnsi="Cambria" w:eastAsia="Times New Roman" w:cs="Times New Roman"/>
      <w:b/>
      <w:bCs/>
      <w:sz w:val="26"/>
      <w:szCs w:val="26"/>
    </w:rPr>
  </w:style>
  <w:style w:type="character" w:styleId="321" w:customStyle="1">
    <w:name w:val="Заголовок 3 Знак2"/>
    <w:basedOn w:val="DefaultParagraphFont"/>
    <w:semiHidden/>
    <w:qFormat/>
    <w:rsid w:val="002727eb"/>
    <w:rPr>
      <w:rFonts w:ascii="Cambria" w:hAnsi="Cambria" w:eastAsia="Times New Roman" w:cs="Times New Roman"/>
      <w:b/>
      <w:bCs/>
      <w:sz w:val="26"/>
      <w:szCs w:val="26"/>
    </w:rPr>
  </w:style>
  <w:style w:type="character" w:styleId="91" w:customStyle="1">
    <w:name w:val="Заголовок 9 Знак"/>
    <w:basedOn w:val="DefaultParagraphFont"/>
    <w:qFormat/>
    <w:rsid w:val="00ee3078"/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Style19" w:customStyle="1">
    <w:name w:val="Базовый Знак"/>
    <w:link w:val="Normal"/>
    <w:qFormat/>
    <w:rsid w:val="00657242"/>
    <w:rPr>
      <w:rFonts w:eastAsia="Calibri"/>
      <w:sz w:val="24"/>
      <w:szCs w:val="24"/>
      <w:lang w:eastAsia="ar-SA"/>
    </w:rPr>
  </w:style>
  <w:style w:type="character" w:styleId="Style20" w:customStyle="1">
    <w:name w:val="Основной текст_"/>
    <w:basedOn w:val="DefaultParagraphFont"/>
    <w:qFormat/>
    <w:rsid w:val="003a479a"/>
    <w:rPr>
      <w:rFonts w:ascii="Times New Roman" w:hAnsi="Times New Roman" w:cs="Times New Roman"/>
      <w:b/>
      <w:bCs/>
      <w:sz w:val="43"/>
      <w:szCs w:val="43"/>
      <w:u w:val="none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2">
    <w:name w:val="Body Text"/>
    <w:basedOn w:val="Normal"/>
    <w:link w:val="Style13"/>
    <w:rsid w:val="00513235"/>
    <w:pPr>
      <w:shd w:val="clear" w:color="auto" w:fill="FFFFFF"/>
      <w:spacing w:lineRule="atLeast" w:line="240"/>
    </w:pPr>
    <w:rPr>
      <w:rFonts w:ascii="Tahoma" w:hAnsi="Tahoma"/>
      <w:sz w:val="19"/>
      <w:szCs w:val="19"/>
    </w:rPr>
  </w:style>
  <w:style w:type="paragraph" w:styleId="Style23">
    <w:name w:val="List"/>
    <w:basedOn w:val="Style22"/>
    <w:pPr/>
    <w:rPr>
      <w:rFonts w:cs="Arial Unicode MS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Style26" w:customStyle="1">
    <w:name w:val="Колонтитул"/>
    <w:basedOn w:val="Normal"/>
    <w:link w:val="Style12"/>
    <w:qFormat/>
    <w:rsid w:val="00513235"/>
    <w:pPr>
      <w:shd w:val="clear" w:color="auto" w:fill="FFFFFF"/>
    </w:pPr>
    <w:rPr>
      <w:sz w:val="20"/>
      <w:szCs w:val="20"/>
    </w:rPr>
  </w:style>
  <w:style w:type="paragraph" w:styleId="Style27">
    <w:name w:val="Footer"/>
    <w:basedOn w:val="Normal"/>
    <w:link w:val="Style16"/>
    <w:uiPriority w:val="99"/>
    <w:rsid w:val="003d50df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5" w:customStyle="1">
    <w:name w:val="Абзац списка1"/>
    <w:basedOn w:val="Normal"/>
    <w:qFormat/>
    <w:rsid w:val="00e355fe"/>
    <w:pPr>
      <w:spacing w:lineRule="auto" w:line="276" w:before="0" w:after="200"/>
      <w:ind w:left="720" w:hanging="0"/>
    </w:pPr>
    <w:rPr>
      <w:rFonts w:ascii="Calibri" w:hAnsi="Calibri" w:cs="Calibri"/>
      <w:sz w:val="22"/>
      <w:szCs w:val="22"/>
    </w:rPr>
  </w:style>
  <w:style w:type="paragraph" w:styleId="Style28" w:customStyle="1">
    <w:name w:val="Пункты"/>
    <w:basedOn w:val="2"/>
    <w:qFormat/>
    <w:rsid w:val="003d50df"/>
    <w:pPr>
      <w:numPr>
        <w:ilvl w:val="1"/>
        <w:numId w:val="2"/>
      </w:numPr>
      <w:tabs>
        <w:tab w:val="clear" w:pos="708"/>
        <w:tab w:val="left" w:pos="1134" w:leader="none"/>
      </w:tabs>
      <w:spacing w:before="120" w:after="0"/>
      <w:jc w:val="both"/>
    </w:pPr>
    <w:rPr>
      <w:rFonts w:ascii="Times New Roman" w:hAnsi="Times New Roman"/>
      <w:b w:val="false"/>
      <w:i w:val="false"/>
      <w:sz w:val="24"/>
    </w:rPr>
  </w:style>
  <w:style w:type="paragraph" w:styleId="BodyTextIndent3">
    <w:name w:val="Body Text Indent 3"/>
    <w:basedOn w:val="Normal"/>
    <w:link w:val="31"/>
    <w:qFormat/>
    <w:rsid w:val="007e6395"/>
    <w:pPr>
      <w:spacing w:before="0" w:after="120"/>
      <w:ind w:left="283" w:hanging="0"/>
    </w:pPr>
    <w:rPr>
      <w:sz w:val="16"/>
      <w:szCs w:val="16"/>
    </w:rPr>
  </w:style>
  <w:style w:type="paragraph" w:styleId="Style29" w:customStyle="1">
    <w:name w:val="Содержимое таблицы"/>
    <w:basedOn w:val="Normal"/>
    <w:qFormat/>
    <w:rsid w:val="00507b71"/>
    <w:pPr>
      <w:suppressLineNumbers/>
      <w:suppressAutoHyphens w:val="true"/>
    </w:pPr>
    <w:rPr>
      <w:lang w:eastAsia="ar-SA"/>
    </w:rPr>
  </w:style>
  <w:style w:type="paragraph" w:styleId="NormalWeb">
    <w:name w:val="Normal (Web)"/>
    <w:basedOn w:val="Normal"/>
    <w:uiPriority w:val="99"/>
    <w:qFormat/>
    <w:rsid w:val="0034495a"/>
    <w:pPr>
      <w:spacing w:beforeAutospacing="1" w:afterAutospacing="1"/>
    </w:pPr>
    <w:rPr/>
  </w:style>
  <w:style w:type="paragraph" w:styleId="Style30">
    <w:name w:val="Header"/>
    <w:basedOn w:val="Normal"/>
    <w:link w:val="Style15"/>
    <w:rsid w:val="009e4cb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uiPriority w:val="99"/>
    <w:semiHidden/>
    <w:qFormat/>
    <w:rsid w:val="00d82736"/>
    <w:pPr/>
    <w:rPr>
      <w:rFonts w:ascii="Tahoma" w:hAnsi="Tahoma" w:cs="Tahoma"/>
      <w:sz w:val="16"/>
      <w:szCs w:val="16"/>
    </w:rPr>
  </w:style>
  <w:style w:type="paragraph" w:styleId="16" w:customStyle="1">
    <w:name w:val="Без интервала1"/>
    <w:basedOn w:val="Normal"/>
    <w:qFormat/>
    <w:rsid w:val="002d5d85"/>
    <w:pPr>
      <w:suppressAutoHyphens w:val="true"/>
    </w:pPr>
    <w:rPr>
      <w:lang w:eastAsia="ar-SA"/>
    </w:rPr>
  </w:style>
  <w:style w:type="paragraph" w:styleId="811" w:customStyle="1">
    <w:name w:val="Основной текст (8)1"/>
    <w:basedOn w:val="Normal"/>
    <w:link w:val="8"/>
    <w:qFormat/>
    <w:rsid w:val="00513235"/>
    <w:pPr>
      <w:shd w:val="clear" w:color="auto" w:fill="FFFFFF"/>
      <w:spacing w:lineRule="exact" w:line="247" w:before="300" w:after="60"/>
      <w:jc w:val="center"/>
    </w:pPr>
    <w:rPr>
      <w:sz w:val="19"/>
      <w:szCs w:val="19"/>
    </w:rPr>
  </w:style>
  <w:style w:type="paragraph" w:styleId="Style31" w:customStyle="1">
    <w:name w:val="Подпись к картинке"/>
    <w:basedOn w:val="Normal"/>
    <w:link w:val="Style14"/>
    <w:qFormat/>
    <w:rsid w:val="00513235"/>
    <w:pPr>
      <w:shd w:val="clear" w:color="auto" w:fill="FFFFFF"/>
      <w:spacing w:lineRule="exact" w:line="274" w:before="0" w:after="240"/>
    </w:pPr>
    <w:rPr>
      <w:sz w:val="23"/>
      <w:szCs w:val="23"/>
    </w:rPr>
  </w:style>
  <w:style w:type="paragraph" w:styleId="ConsPlusNonformat" w:customStyle="1">
    <w:name w:val="ConsPlusNonformat"/>
    <w:qFormat/>
    <w:rsid w:val="001229db"/>
    <w:pPr>
      <w:widowControl/>
      <w:bidi w:val="0"/>
      <w:spacing w:before="0" w:after="0"/>
      <w:jc w:val="left"/>
    </w:pPr>
    <w:rPr>
      <w:rFonts w:ascii="Courier New" w:hAnsi="Courier New" w:cs="Courier New" w:eastAsia="Times New Roman"/>
      <w:color w:val="auto"/>
      <w:kern w:val="0"/>
      <w:sz w:val="20"/>
      <w:szCs w:val="20"/>
      <w:lang w:val="ru-RU" w:eastAsia="ru-RU" w:bidi="ar-SA"/>
    </w:rPr>
  </w:style>
  <w:style w:type="paragraph" w:styleId="ConsPlusTitle" w:customStyle="1">
    <w:name w:val="ConsPlusTitle"/>
    <w:uiPriority w:val="99"/>
    <w:qFormat/>
    <w:rsid w:val="001229db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ru-RU" w:eastAsia="ru-RU" w:bidi="ar-SA"/>
    </w:rPr>
  </w:style>
  <w:style w:type="paragraph" w:styleId="ConsPlusNormal1" w:customStyle="1">
    <w:name w:val="ConsPlusNormal"/>
    <w:link w:val="ConsPlusNormal"/>
    <w:qFormat/>
    <w:rsid w:val="00ec317d"/>
    <w:pPr>
      <w:widowControl w:val="false"/>
      <w:bidi w:val="0"/>
      <w:spacing w:before="0" w:after="0"/>
      <w:ind w:firstLine="720"/>
      <w:jc w:val="left"/>
    </w:pPr>
    <w:rPr>
      <w:rFonts w:ascii="Arial" w:hAnsi="Arial" w:cs="Arial" w:eastAsia="Times New Roman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uiPriority w:val="1"/>
    <w:qFormat/>
    <w:rsid w:val="00e355fe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a3190e"/>
    <w:pPr>
      <w:ind w:left="708" w:hanging="0"/>
    </w:pPr>
    <w:rPr/>
  </w:style>
  <w:style w:type="paragraph" w:styleId="ListParagraph1" w:customStyle="1">
    <w:name w:val="List Paragraph1"/>
    <w:basedOn w:val="Normal"/>
    <w:qFormat/>
    <w:rsid w:val="008325ec"/>
    <w:pPr>
      <w:suppressAutoHyphens w:val="true"/>
      <w:spacing w:before="0" w:after="0"/>
      <w:ind w:left="720" w:hanging="0"/>
      <w:contextualSpacing/>
    </w:pPr>
    <w:rPr>
      <w:lang w:eastAsia="ar-SA"/>
    </w:rPr>
  </w:style>
  <w:style w:type="paragraph" w:styleId="Style91" w:customStyle="1">
    <w:name w:val="Style9"/>
    <w:basedOn w:val="Normal"/>
    <w:uiPriority w:val="99"/>
    <w:qFormat/>
    <w:rsid w:val="008325ec"/>
    <w:pPr>
      <w:widowControl w:val="false"/>
    </w:pPr>
    <w:rPr/>
  </w:style>
  <w:style w:type="paragraph" w:styleId="22" w:customStyle="1">
    <w:name w:val="Абзац списка2"/>
    <w:basedOn w:val="Normal"/>
    <w:uiPriority w:val="99"/>
    <w:qFormat/>
    <w:rsid w:val="008325ec"/>
    <w:pPr>
      <w:spacing w:lineRule="auto" w:line="276" w:before="0" w:after="200"/>
      <w:ind w:left="720" w:hanging="0"/>
    </w:pPr>
    <w:rPr>
      <w:rFonts w:ascii="Calibri" w:hAnsi="Calibri" w:cs="Calibri"/>
      <w:sz w:val="22"/>
      <w:szCs w:val="22"/>
    </w:rPr>
  </w:style>
  <w:style w:type="paragraph" w:styleId="33" w:customStyle="1">
    <w:name w:val="Абзац списка3"/>
    <w:basedOn w:val="Normal"/>
    <w:qFormat/>
    <w:rsid w:val="008325ec"/>
    <w:pPr>
      <w:spacing w:lineRule="auto" w:line="276" w:before="0" w:after="200"/>
      <w:ind w:left="720" w:hanging="0"/>
    </w:pPr>
    <w:rPr>
      <w:rFonts w:ascii="Calibri" w:hAnsi="Calibri" w:cs="Calibri"/>
      <w:sz w:val="22"/>
      <w:szCs w:val="22"/>
    </w:rPr>
  </w:style>
  <w:style w:type="paragraph" w:styleId="HTMLTopofForm">
    <w:name w:val="HTML Top of Form"/>
    <w:basedOn w:val="Normal"/>
    <w:next w:val="Normal"/>
    <w:link w:val="Z"/>
    <w:uiPriority w:val="99"/>
    <w:unhideWhenUsed/>
    <w:qFormat/>
    <w:rsid w:val="00623bd1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HTMLBottomofForm">
    <w:name w:val="HTML Bottom of Form"/>
    <w:basedOn w:val="Normal"/>
    <w:next w:val="Normal"/>
    <w:link w:val="Z1"/>
    <w:uiPriority w:val="99"/>
    <w:unhideWhenUsed/>
    <w:qFormat/>
    <w:rsid w:val="00623bd1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312" w:customStyle="1">
    <w:name w:val="Заголовок 31"/>
    <w:basedOn w:val="Normal"/>
    <w:next w:val="Normal"/>
    <w:link w:val="311"/>
    <w:uiPriority w:val="9"/>
    <w:semiHidden/>
    <w:unhideWhenUsed/>
    <w:qFormat/>
    <w:locked/>
    <w:rsid w:val="002727eb"/>
    <w:pPr>
      <w:keepNext w:val="true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Font5" w:customStyle="1">
    <w:name w:val="font5"/>
    <w:basedOn w:val="Normal"/>
    <w:qFormat/>
    <w:rsid w:val="002727eb"/>
    <w:pPr>
      <w:spacing w:beforeAutospacing="1" w:afterAutospacing="1"/>
    </w:pPr>
    <w:rPr>
      <w:color w:val="000000"/>
    </w:rPr>
  </w:style>
  <w:style w:type="paragraph" w:styleId="Font6" w:customStyle="1">
    <w:name w:val="font6"/>
    <w:basedOn w:val="Normal"/>
    <w:qFormat/>
    <w:rsid w:val="002727eb"/>
    <w:pPr>
      <w:spacing w:beforeAutospacing="1" w:afterAutospacing="1"/>
    </w:pPr>
    <w:rPr>
      <w:color w:val="000000"/>
      <w:sz w:val="20"/>
      <w:szCs w:val="20"/>
    </w:rPr>
  </w:style>
  <w:style w:type="paragraph" w:styleId="Xl66" w:customStyle="1">
    <w:name w:val="xl66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/>
  </w:style>
  <w:style w:type="paragraph" w:styleId="Xl67" w:customStyle="1">
    <w:name w:val="xl67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i/>
      <w:iCs/>
      <w:sz w:val="20"/>
      <w:szCs w:val="20"/>
    </w:rPr>
  </w:style>
  <w:style w:type="paragraph" w:styleId="Xl68" w:customStyle="1">
    <w:name w:val="xl68"/>
    <w:basedOn w:val="Normal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styleId="Xl69" w:customStyle="1">
    <w:name w:val="xl69"/>
    <w:basedOn w:val="Normal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styleId="Xl70" w:customStyle="1">
    <w:name w:val="xl70"/>
    <w:basedOn w:val="Normal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0"/>
      <w:szCs w:val="20"/>
    </w:rPr>
  </w:style>
  <w:style w:type="paragraph" w:styleId="Xl71" w:customStyle="1">
    <w:name w:val="xl71"/>
    <w:basedOn w:val="Normal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 w:val="20"/>
      <w:szCs w:val="20"/>
    </w:rPr>
  </w:style>
  <w:style w:type="paragraph" w:styleId="Xl72" w:customStyle="1">
    <w:name w:val="xl72"/>
    <w:basedOn w:val="Normal"/>
    <w:qFormat/>
    <w:rsid w:val="002727eb"/>
    <w:pPr>
      <w:pBdr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20"/>
      <w:szCs w:val="20"/>
    </w:rPr>
  </w:style>
  <w:style w:type="paragraph" w:styleId="Xl73" w:customStyle="1">
    <w:name w:val="xl73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/>
  </w:style>
  <w:style w:type="paragraph" w:styleId="Xl74" w:customStyle="1">
    <w:name w:val="xl74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i/>
      <w:iCs/>
      <w:sz w:val="20"/>
      <w:szCs w:val="20"/>
    </w:rPr>
  </w:style>
  <w:style w:type="paragraph" w:styleId="Xl75" w:customStyle="1">
    <w:name w:val="xl75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/>
  </w:style>
  <w:style w:type="paragraph" w:styleId="Xl76" w:customStyle="1">
    <w:name w:val="xl76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/>
  </w:style>
  <w:style w:type="paragraph" w:styleId="Xl77" w:customStyle="1">
    <w:name w:val="xl77"/>
    <w:basedOn w:val="Normal"/>
    <w:qFormat/>
    <w:rsid w:val="002727eb"/>
    <w:pPr>
      <w:spacing w:beforeAutospacing="1" w:afterAutospacing="1"/>
    </w:pPr>
    <w:rPr/>
  </w:style>
  <w:style w:type="paragraph" w:styleId="Xl78" w:customStyle="1">
    <w:name w:val="xl78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79" w:customStyle="1">
    <w:name w:val="xl79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80" w:customStyle="1">
    <w:name w:val="xl80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/>
  </w:style>
  <w:style w:type="paragraph" w:styleId="Xl81" w:customStyle="1">
    <w:name w:val="xl81"/>
    <w:basedOn w:val="Normal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000000"/>
      <w:sz w:val="20"/>
      <w:szCs w:val="20"/>
    </w:rPr>
  </w:style>
  <w:style w:type="paragraph" w:styleId="Xl82" w:customStyle="1">
    <w:name w:val="xl82"/>
    <w:basedOn w:val="Normal"/>
    <w:qFormat/>
    <w:rsid w:val="00272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000000"/>
      <w:sz w:val="20"/>
      <w:szCs w:val="20"/>
    </w:rPr>
  </w:style>
  <w:style w:type="paragraph" w:styleId="Xl83" w:customStyle="1">
    <w:name w:val="xl83"/>
    <w:basedOn w:val="Normal"/>
    <w:qFormat/>
    <w:rsid w:val="002727eb"/>
    <w:pPr>
      <w:pBdr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styleId="Xl84" w:customStyle="1">
    <w:name w:val="xl84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85" w:customStyle="1">
    <w:name w:val="xl85"/>
    <w:basedOn w:val="Normal"/>
    <w:qFormat/>
    <w:rsid w:val="002727eb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86" w:customStyle="1">
    <w:name w:val="xl86"/>
    <w:basedOn w:val="Normal"/>
    <w:qFormat/>
    <w:rsid w:val="00272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87" w:customStyle="1">
    <w:name w:val="xl87"/>
    <w:basedOn w:val="Normal"/>
    <w:qFormat/>
    <w:rsid w:val="002727e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styleId="Xl88" w:customStyle="1">
    <w:name w:val="xl88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89" w:customStyle="1">
    <w:name w:val="xl89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90" w:customStyle="1">
    <w:name w:val="xl90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91" w:customStyle="1">
    <w:name w:val="xl91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92" w:customStyle="1">
    <w:name w:val="xl92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93" w:customStyle="1">
    <w:name w:val="xl93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94" w:customStyle="1">
    <w:name w:val="xl94"/>
    <w:basedOn w:val="Normal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Style32" w:customStyle="1">
    <w:name w:val="Контракт-раздел"/>
    <w:basedOn w:val="Normal"/>
    <w:next w:val="Style33"/>
    <w:uiPriority w:val="99"/>
    <w:qFormat/>
    <w:rsid w:val="00ee3078"/>
    <w:pPr>
      <w:keepNext w:val="true"/>
      <w:numPr>
        <w:ilvl w:val="0"/>
        <w:numId w:val="4"/>
      </w:numPr>
      <w:tabs>
        <w:tab w:val="clear" w:pos="708"/>
        <w:tab w:val="left" w:pos="540" w:leader="none"/>
      </w:tabs>
      <w:suppressAutoHyphens w:val="true"/>
      <w:spacing w:before="360" w:after="120"/>
      <w:jc w:val="center"/>
      <w:outlineLvl w:val="3"/>
    </w:pPr>
    <w:rPr>
      <w:b/>
      <w:bCs/>
      <w:smallCaps/>
    </w:rPr>
  </w:style>
  <w:style w:type="paragraph" w:styleId="Style33" w:customStyle="1">
    <w:name w:val="Контракт-пункт"/>
    <w:basedOn w:val="Normal"/>
    <w:uiPriority w:val="99"/>
    <w:qFormat/>
    <w:rsid w:val="00ee3078"/>
    <w:pPr>
      <w:numPr>
        <w:ilvl w:val="1"/>
        <w:numId w:val="4"/>
      </w:numPr>
      <w:jc w:val="both"/>
    </w:pPr>
    <w:rPr/>
  </w:style>
  <w:style w:type="paragraph" w:styleId="Style34" w:customStyle="1">
    <w:name w:val="Контракт-подпункт"/>
    <w:basedOn w:val="Normal"/>
    <w:uiPriority w:val="99"/>
    <w:qFormat/>
    <w:rsid w:val="00ee3078"/>
    <w:pPr>
      <w:numPr>
        <w:ilvl w:val="2"/>
        <w:numId w:val="4"/>
      </w:numPr>
      <w:jc w:val="both"/>
    </w:pPr>
    <w:rPr/>
  </w:style>
  <w:style w:type="paragraph" w:styleId="Style35" w:customStyle="1">
    <w:name w:val="Контракт-подподпункт"/>
    <w:basedOn w:val="Normal"/>
    <w:uiPriority w:val="99"/>
    <w:qFormat/>
    <w:rsid w:val="00ee3078"/>
    <w:pPr>
      <w:numPr>
        <w:ilvl w:val="3"/>
        <w:numId w:val="4"/>
      </w:numPr>
      <w:jc w:val="both"/>
    </w:pPr>
    <w:rPr/>
  </w:style>
  <w:style w:type="paragraph" w:styleId="Style36" w:customStyle="1">
    <w:name w:val="Пункт б/н"/>
    <w:basedOn w:val="Normal"/>
    <w:semiHidden/>
    <w:qFormat/>
    <w:rsid w:val="00657242"/>
    <w:pPr>
      <w:tabs>
        <w:tab w:val="clear" w:pos="708"/>
        <w:tab w:val="left" w:pos="1134" w:leader="none"/>
      </w:tabs>
      <w:ind w:firstLine="567"/>
      <w:jc w:val="both"/>
    </w:pPr>
    <w:rPr/>
  </w:style>
  <w:style w:type="paragraph" w:styleId="23" w:customStyle="1">
    <w:name w:val="Обычный2"/>
    <w:qFormat/>
    <w:rsid w:val="007048b6"/>
    <w:pPr>
      <w:widowControl w:val="false"/>
      <w:suppressAutoHyphens w:val="true"/>
      <w:bidi w:val="0"/>
      <w:snapToGrid w:val="false"/>
      <w:spacing w:before="0" w:after="0"/>
      <w:ind w:firstLine="72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zh-CN" w:bidi="hi-IN" w:val="ru-RU"/>
    </w:rPr>
  </w:style>
  <w:style w:type="paragraph" w:styleId="Style3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7" w:customStyle="1">
    <w:name w:val="Нет списка1"/>
    <w:semiHidden/>
    <w:qFormat/>
    <w:rsid w:val="00513235"/>
  </w:style>
  <w:style w:type="table" w:default="1" w:styleId="a2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2"/>
    <w:rsid w:val="003d50d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2"/>
    <w:uiPriority w:val="99"/>
    <w:rsid w:val="002a549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2"/>
    <w:rsid w:val="00a761b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rsid w:val="00a761b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2"/>
    <w:uiPriority w:val="99"/>
    <w:rsid w:val="002727e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uiPriority w:val="99"/>
    <w:rsid w:val="002727e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2"/>
    <w:uiPriority w:val="59"/>
    <w:rsid w:val="002727eb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Сетка таблицы31"/>
    <w:basedOn w:val="a2"/>
    <w:uiPriority w:val="59"/>
    <w:rsid w:val="002727eb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2"/>
    <w:uiPriority w:val="99"/>
    <w:rsid w:val="00587b4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uiPriority w:val="99"/>
    <w:rsid w:val="00587b4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2"/>
    <w:uiPriority w:val="59"/>
    <w:rsid w:val="00587b4c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2"/>
    <w:uiPriority w:val="59"/>
    <w:rsid w:val="00587b4c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1"/>
    <w:basedOn w:val="a2"/>
    <w:uiPriority w:val="59"/>
    <w:rsid w:val="00587b4c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2"/>
    <w:uiPriority w:val="99"/>
    <w:rsid w:val="00f962e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uiPriority w:val="99"/>
    <w:rsid w:val="00f962e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3"/>
    <w:basedOn w:val="a2"/>
    <w:uiPriority w:val="59"/>
    <w:rsid w:val="00f962ea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0">
    <w:name w:val="Сетка таблицы33"/>
    <w:basedOn w:val="a2"/>
    <w:uiPriority w:val="59"/>
    <w:rsid w:val="00f962ea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2"/>
    <w:basedOn w:val="a2"/>
    <w:uiPriority w:val="59"/>
    <w:rsid w:val="00f962ea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basedOn w:val="a2"/>
    <w:uiPriority w:val="59"/>
    <w:rsid w:val="00f962ea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z@p106.org.ru" TargetMode="External"/><Relationship Id="rId3" Type="http://schemas.openxmlformats.org/officeDocument/2006/relationships/hyperlink" Target="mailto:p106@zdrav.spb.ru" TargetMode="Externa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529CE-BF07-44A7-8497-38599D788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Application>LibreOffice/7.4.2.3$Windows_X86_64 LibreOffice_project/382eef1f22670f7f4118c8c2dd222ec7ad009daf</Application>
  <AppVersion>15.0000</AppVersion>
  <Pages>10</Pages>
  <Words>3484</Words>
  <Characters>24906</Characters>
  <CharactersWithSpaces>28321</CharactersWithSpaces>
  <Paragraphs>288</Paragraphs>
  <Company>СПб ГУЗ "Городская поликлиника №106"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2026-07-27T13:19:00Z</dcterms:created>
  <dc:creator>PlugarevaS</dc:creator>
  <dc:description/>
  <dc:language>ru-RU</dc:language>
  <cp:lastModifiedBy/>
  <cp:lastPrinted>2021-11-08T13:57:00Z</cp:lastPrinted>
  <dcterms:modified xsi:type="dcterms:W3CDTF">2026-07-28T11:40:29Z</dcterms:modified>
  <cp:revision>9</cp:revision>
  <dc:subject/>
  <dc:title>ЧАСТЬ IV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