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widowControl w:val="1"/>
        <w:ind w:firstLine="709"/>
        <w:rPr>
          <w:sz w:val="22"/>
        </w:rPr>
      </w:pPr>
      <w:r>
        <w:rPr>
          <w:sz w:val="22"/>
        </w:rPr>
        <w:t>ДОГОВОР №</w:t>
      </w:r>
      <w:r>
        <w:rPr>
          <w:b w:val="0"/>
          <w:sz w:val="22"/>
        </w:rPr>
        <w:t xml:space="preserve"> </w:t>
      </w:r>
      <w:r>
        <w:rPr>
          <w:sz w:val="22"/>
        </w:rPr>
        <w:t>____________</w:t>
      </w:r>
    </w:p>
    <w:p w14:paraId="02000000">
      <w:pPr>
        <w:pStyle w:val="Style_1"/>
        <w:widowControl w:val="1"/>
        <w:ind w:firstLine="709"/>
        <w:rPr>
          <w:sz w:val="22"/>
        </w:rPr>
      </w:pPr>
    </w:p>
    <w:p w14:paraId="03000000">
      <w:pPr>
        <w:pStyle w:val="Style_1"/>
        <w:widowControl w:val="1"/>
        <w:ind w:firstLine="709"/>
        <w:rPr>
          <w:sz w:val="22"/>
        </w:rPr>
      </w:pPr>
      <w:r>
        <w:rPr>
          <w:sz w:val="22"/>
        </w:rPr>
        <w:t>ИКЗ__________________</w:t>
      </w:r>
    </w:p>
    <w:p w14:paraId="04000000">
      <w:pPr>
        <w:widowControl w:val="0"/>
        <w:ind w:firstLine="709"/>
        <w:rPr>
          <w:rFonts w:ascii="Times New Roman" w:hAnsi="Times New Roman"/>
        </w:rPr>
      </w:pPr>
    </w:p>
    <w:p w14:paraId="05000000">
      <w:pPr>
        <w:widowControl w:val="0"/>
        <w:ind/>
        <w:jc w:val="center"/>
        <w:rPr>
          <w:rFonts w:ascii="Times New Roman" w:hAnsi="Times New Roman"/>
        </w:rPr>
      </w:pPr>
      <w:r>
        <w:rPr>
          <w:rFonts w:ascii="Times New Roman" w:hAnsi="Times New Roman"/>
        </w:rPr>
        <w:t>г. Санкт-Петербург</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 xml:space="preserve">  _</w:t>
      </w:r>
      <w:r>
        <w:rPr>
          <w:rFonts w:ascii="Times New Roman" w:hAnsi="Times New Roman"/>
        </w:rPr>
        <w:t>____ ___________   2026 г.</w:t>
      </w:r>
    </w:p>
    <w:p w14:paraId="06000000">
      <w:pPr>
        <w:widowControl w:val="0"/>
        <w:ind w:firstLine="709"/>
        <w:jc w:val="both"/>
        <w:rPr>
          <w:rFonts w:ascii="Times New Roman" w:hAnsi="Times New Roman"/>
        </w:rPr>
      </w:pPr>
      <w:r>
        <w:rPr>
          <w:rFonts w:ascii="Times New Roman" w:hAnsi="Times New Roman"/>
          <w:b w:val="1"/>
        </w:rPr>
        <w:t>Санкт-Петербургское государственное бюджетное учреждение здравоохранения «Госпиталь для ветеранов войн» (СПб ГБУЗ «ГВВ»)</w:t>
      </w:r>
      <w:r>
        <w:rPr>
          <w:rFonts w:ascii="Times New Roman" w:hAnsi="Times New Roman"/>
        </w:rPr>
        <w:t>, именуемое в дальнейшем</w:t>
      </w:r>
      <w:r>
        <w:rPr>
          <w:rFonts w:ascii="Times New Roman" w:hAnsi="Times New Roman"/>
          <w:b w:val="1"/>
        </w:rPr>
        <w:t xml:space="preserve"> «Заказчик»</w:t>
      </w:r>
      <w:r>
        <w:rPr>
          <w:rFonts w:ascii="Times New Roman" w:hAnsi="Times New Roman"/>
        </w:rPr>
        <w:t>,</w:t>
      </w:r>
      <w:r>
        <w:rPr>
          <w:rFonts w:ascii="Times New Roman" w:hAnsi="Times New Roman"/>
          <w:b w:val="1"/>
        </w:rPr>
        <w:t xml:space="preserve"> </w:t>
      </w:r>
      <w:r>
        <w:rPr>
          <w:rFonts w:ascii="Times New Roman" w:hAnsi="Times New Roman"/>
        </w:rPr>
        <w:t xml:space="preserve">в лице начальника госпиталя Максима Юрьевича Кабанова, действующего на основании Устава, с одной стороны, и </w:t>
      </w:r>
      <w:r>
        <w:rPr>
          <w:rFonts w:ascii="Times New Roman" w:hAnsi="Times New Roman"/>
          <w:b w:val="1"/>
        </w:rPr>
        <w:t>______________________________________</w:t>
      </w:r>
      <w:r>
        <w:rPr>
          <w:rFonts w:ascii="Times New Roman" w:hAnsi="Times New Roman"/>
        </w:rPr>
        <w:t>,</w:t>
      </w:r>
      <w:r>
        <w:rPr>
          <w:rFonts w:ascii="Times New Roman" w:hAnsi="Times New Roman"/>
        </w:rPr>
        <w:t xml:space="preserve"> именуемое в дальнейшем </w:t>
      </w:r>
      <w:r>
        <w:rPr>
          <w:rFonts w:ascii="Times New Roman" w:hAnsi="Times New Roman"/>
          <w:b w:val="1"/>
        </w:rPr>
        <w:t>«Подрядчик»</w:t>
      </w:r>
      <w:r>
        <w:rPr>
          <w:rFonts w:ascii="Times New Roman" w:hAnsi="Times New Roman"/>
        </w:rPr>
        <w:t xml:space="preserve">, в лице ______________________, действующей на основании _______________________, с другой стороны, совместно именуемые </w:t>
      </w:r>
      <w:r>
        <w:rPr>
          <w:rFonts w:ascii="Times New Roman" w:hAnsi="Times New Roman"/>
          <w:b w:val="1"/>
        </w:rPr>
        <w:t>«Стороны»</w:t>
      </w:r>
      <w:r>
        <w:rPr>
          <w:rFonts w:ascii="Times New Roman" w:hAnsi="Times New Roman"/>
        </w:rPr>
        <w:t>,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14:paraId="07000000">
      <w:pPr>
        <w:pStyle w:val="Style_2"/>
        <w:widowControl w:val="0"/>
        <w:numPr>
          <w:ilvl w:val="0"/>
          <w:numId w:val="1"/>
        </w:numPr>
        <w:ind w:firstLine="709" w:left="0"/>
        <w:jc w:val="center"/>
        <w:rPr>
          <w:b w:val="1"/>
          <w:sz w:val="22"/>
        </w:rPr>
      </w:pPr>
      <w:r>
        <w:rPr>
          <w:b w:val="1"/>
          <w:sz w:val="22"/>
        </w:rPr>
        <w:t>ПРЕДМЕТ ДОГОВОРА</w:t>
      </w:r>
    </w:p>
    <w:p w14:paraId="08000000">
      <w:pPr>
        <w:widowControl w:val="0"/>
        <w:ind w:firstLine="709"/>
        <w:jc w:val="both"/>
        <w:rPr>
          <w:rFonts w:ascii="Times New Roman" w:hAnsi="Times New Roman"/>
        </w:rPr>
      </w:pPr>
      <w:r>
        <w:rPr>
          <w:rFonts w:ascii="Times New Roman" w:hAnsi="Times New Roman"/>
        </w:rPr>
        <w:t xml:space="preserve">1.1 По настоящему Договору Подрядчик обязуется выполнить </w:t>
      </w:r>
      <w:r>
        <w:rPr>
          <w:rFonts w:ascii="Times New Roman" w:hAnsi="Times New Roman"/>
        </w:rPr>
        <w:t>т</w:t>
      </w:r>
      <w:r>
        <w:rPr>
          <w:rFonts w:ascii="Times New Roman" w:hAnsi="Times New Roman"/>
        </w:rPr>
        <w:t xml:space="preserve">екущий ремонт палаты пробуждения и моечной кардиологической операционной </w:t>
      </w:r>
      <w:r>
        <w:rPr>
          <w:rFonts w:ascii="Times New Roman" w:hAnsi="Times New Roman"/>
        </w:rPr>
        <w:t xml:space="preserve">(далее – Работы) </w:t>
      </w:r>
      <w:r>
        <w:rPr>
          <w:rFonts w:ascii="Times New Roman" w:hAnsi="Times New Roman"/>
        </w:rPr>
        <w:t>в здании СПб ГБУЗ "ГВВ" по адресу: г. Санкт-Петербург, ул. Народная, д.21, корп. 2, лит. А, строение 2</w:t>
      </w:r>
      <w:r>
        <w:rPr>
          <w:rFonts w:ascii="Times New Roman" w:hAnsi="Times New Roman"/>
        </w:rPr>
        <w:t xml:space="preserve"> (далее- Объект), а Заказчик обязуется оплатить эти работы в порядке, предусмотренном настоящим Договором.</w:t>
      </w:r>
    </w:p>
    <w:p w14:paraId="09000000">
      <w:pPr>
        <w:widowControl w:val="0"/>
        <w:ind w:firstLine="709"/>
        <w:jc w:val="both"/>
        <w:rPr>
          <w:rFonts w:ascii="Times New Roman" w:hAnsi="Times New Roman"/>
        </w:rPr>
      </w:pPr>
      <w:r>
        <w:rPr>
          <w:rFonts w:ascii="Times New Roman" w:hAnsi="Times New Roman"/>
        </w:rPr>
        <w:t xml:space="preserve">1.2 Работы по Договору выполняются в полном объеме в соответствии с Локальным сметным расчетом (Приложение № 2 к настоящему Договору), определяющий объем, содержание работ, а также в соответствии с действующими нормами, стандартами и правилами выполнения, данного рода работ. </w:t>
      </w:r>
    </w:p>
    <w:p w14:paraId="0A000000">
      <w:pPr>
        <w:pStyle w:val="Style_2"/>
        <w:widowControl w:val="0"/>
        <w:numPr>
          <w:ilvl w:val="0"/>
          <w:numId w:val="2"/>
        </w:numPr>
        <w:ind w:firstLine="709" w:left="0"/>
        <w:jc w:val="center"/>
        <w:rPr>
          <w:b w:val="1"/>
          <w:sz w:val="22"/>
        </w:rPr>
      </w:pPr>
      <w:r>
        <w:rPr>
          <w:b w:val="1"/>
          <w:sz w:val="22"/>
        </w:rPr>
        <w:t xml:space="preserve">СТОИМОСТЬ ДОГОВОРА </w:t>
      </w:r>
    </w:p>
    <w:p w14:paraId="0B000000">
      <w:pPr>
        <w:widowControl w:val="0"/>
        <w:ind w:firstLine="709"/>
        <w:jc w:val="both"/>
        <w:rPr>
          <w:rFonts w:ascii="Times New Roman" w:hAnsi="Times New Roman"/>
          <w:b w:val="1"/>
        </w:rPr>
      </w:pPr>
      <w:r>
        <w:rPr>
          <w:rFonts w:ascii="Times New Roman" w:hAnsi="Times New Roman"/>
        </w:rPr>
        <w:t xml:space="preserve">2.1 Общая стоимость работ по Договору составляет </w:t>
      </w:r>
      <w:r>
        <w:rPr>
          <w:rFonts w:ascii="Times New Roman" w:hAnsi="Times New Roman"/>
          <w:b w:val="1"/>
        </w:rPr>
        <w:t>_____________________________________</w:t>
      </w:r>
    </w:p>
    <w:p w14:paraId="0C000000">
      <w:pPr>
        <w:widowControl w:val="0"/>
        <w:ind w:firstLine="709"/>
        <w:jc w:val="both"/>
        <w:rPr>
          <w:rFonts w:ascii="Times New Roman" w:hAnsi="Times New Roman"/>
        </w:rPr>
      </w:pPr>
      <w:r>
        <w:rPr>
          <w:rFonts w:ascii="Times New Roman" w:hAnsi="Times New Roman"/>
        </w:rPr>
        <w:t>2.2. Все взаиморасчеты Сторон осуществляются в рублях Российской Федерации.</w:t>
      </w:r>
    </w:p>
    <w:p w14:paraId="0D000000">
      <w:pPr>
        <w:widowControl w:val="0"/>
        <w:ind w:firstLine="709"/>
        <w:jc w:val="both"/>
        <w:rPr>
          <w:rFonts w:ascii="Times New Roman" w:hAnsi="Times New Roman"/>
        </w:rPr>
      </w:pPr>
      <w:r>
        <w:rPr>
          <w:rFonts w:ascii="Times New Roman" w:hAnsi="Times New Roman"/>
        </w:rPr>
        <w:t>2.3. Авансирование подлежащих выполнению Подрядчиком работ не предусматривается.</w:t>
      </w:r>
    </w:p>
    <w:p w14:paraId="0E000000">
      <w:pPr>
        <w:widowControl w:val="0"/>
        <w:ind w:firstLine="709"/>
        <w:jc w:val="both"/>
        <w:rPr>
          <w:rFonts w:ascii="Times New Roman" w:hAnsi="Times New Roman"/>
        </w:rPr>
      </w:pPr>
      <w:r>
        <w:rPr>
          <w:rFonts w:ascii="Times New Roman" w:hAnsi="Times New Roman"/>
        </w:rPr>
        <w:t xml:space="preserve">2.4 </w:t>
      </w:r>
      <w:r>
        <w:rPr>
          <w:rFonts w:ascii="Times New Roman" w:hAnsi="Times New Roman"/>
        </w:rPr>
        <w:t>В</w:t>
      </w:r>
      <w:r>
        <w:rPr>
          <w:rFonts w:ascii="Times New Roman" w:hAnsi="Times New Roman"/>
        </w:rPr>
        <w:t xml:space="preserve"> цену Договора включены все предполагаемые расходы, которые Подрядчик будет обязан осуществить в связи с заключением настоящего Договора.</w:t>
      </w:r>
    </w:p>
    <w:p w14:paraId="0F000000">
      <w:pPr>
        <w:widowControl w:val="0"/>
        <w:ind w:firstLine="709"/>
        <w:jc w:val="both"/>
        <w:rPr>
          <w:rFonts w:ascii="Times New Roman" w:hAnsi="Times New Roman"/>
        </w:rPr>
      </w:pPr>
      <w:r>
        <w:rPr>
          <w:rFonts w:ascii="Times New Roman" w:hAnsi="Times New Roman"/>
        </w:rPr>
        <w:t>2.5 Цена Договора является твердой и определяется на весь срок исполнения Договора.</w:t>
      </w:r>
    </w:p>
    <w:p w14:paraId="10000000">
      <w:pPr>
        <w:pStyle w:val="Style_2"/>
        <w:widowControl w:val="0"/>
        <w:numPr>
          <w:ilvl w:val="0"/>
          <w:numId w:val="2"/>
        </w:numPr>
        <w:ind w:firstLine="709" w:left="0"/>
        <w:jc w:val="center"/>
        <w:rPr>
          <w:b w:val="1"/>
          <w:sz w:val="22"/>
        </w:rPr>
      </w:pPr>
      <w:r>
        <w:rPr>
          <w:b w:val="1"/>
          <w:sz w:val="22"/>
        </w:rPr>
        <w:t>СРОК, МЕСТО И УСЛОВИЯ ВЫПОЛНЕНИЯ РАБОТ</w:t>
      </w:r>
    </w:p>
    <w:p w14:paraId="11000000">
      <w:pPr>
        <w:pStyle w:val="Style_2"/>
        <w:widowControl w:val="0"/>
        <w:ind w:firstLine="709" w:left="0"/>
        <w:rPr>
          <w:sz w:val="22"/>
        </w:rPr>
      </w:pPr>
      <w:r>
        <w:rPr>
          <w:sz w:val="22"/>
        </w:rPr>
        <w:t>3.1. Условия и сроки выполнения работ:</w:t>
      </w:r>
    </w:p>
    <w:p w14:paraId="12000000">
      <w:pPr>
        <w:pStyle w:val="Style_2"/>
        <w:widowControl w:val="0"/>
        <w:ind w:firstLine="709" w:left="0"/>
        <w:jc w:val="both"/>
        <w:rPr>
          <w:sz w:val="22"/>
        </w:rPr>
      </w:pPr>
      <w:r>
        <w:rPr>
          <w:sz w:val="22"/>
        </w:rPr>
        <w:t xml:space="preserve">Начало выполнения работ – </w:t>
      </w:r>
      <w:r>
        <w:rPr>
          <w:sz w:val="22"/>
        </w:rPr>
        <w:t>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5 (пяти) рабочих дней после подписания Договора.</w:t>
      </w:r>
    </w:p>
    <w:p w14:paraId="13000000">
      <w:pPr>
        <w:pStyle w:val="Style_2"/>
        <w:widowControl w:val="0"/>
        <w:ind w:firstLine="709" w:left="0"/>
        <w:jc w:val="both"/>
        <w:rPr>
          <w:sz w:val="22"/>
        </w:rPr>
      </w:pPr>
      <w:r>
        <w:rPr>
          <w:sz w:val="22"/>
        </w:rPr>
        <w:t>Окончание выполнения работ: работы выполняются в течение 2</w:t>
      </w:r>
      <w:r>
        <w:rPr>
          <w:sz w:val="22"/>
        </w:rPr>
        <w:t>5</w:t>
      </w:r>
      <w:r>
        <w:rPr>
          <w:sz w:val="22"/>
        </w:rPr>
        <w:t xml:space="preserve"> (двадцати</w:t>
      </w:r>
      <w:r>
        <w:rPr>
          <w:sz w:val="22"/>
        </w:rPr>
        <w:t xml:space="preserve"> пяти</w:t>
      </w:r>
      <w:r>
        <w:rPr>
          <w:sz w:val="22"/>
        </w:rPr>
        <w:t>) рабочих дней с момента подписания Сторонами акта передачи объекта в ремонт. Датой окончания выполнения работ считается дата подписания акта сдачи-приёмки выполненных работ (форма КС-2) ответственными представителями Сторон.</w:t>
      </w:r>
    </w:p>
    <w:p w14:paraId="14000000">
      <w:pPr>
        <w:pStyle w:val="Style_2"/>
        <w:widowControl w:val="0"/>
        <w:ind w:firstLine="709" w:left="0"/>
        <w:jc w:val="both"/>
        <w:rPr>
          <w:sz w:val="22"/>
        </w:rPr>
      </w:pPr>
      <w:r>
        <w:rPr>
          <w:sz w:val="22"/>
        </w:rPr>
        <w:t xml:space="preserve">3.2. Место выполнения работ: СПб ГБУЗ «ГВВ», </w:t>
      </w:r>
      <w:r>
        <w:rPr>
          <w:sz w:val="22"/>
        </w:rPr>
        <w:t>г. Санкт-Петербург, ул. Народная, д.21, корп. 2, лит. А, строение</w:t>
      </w:r>
      <w:bookmarkStart w:id="1" w:name="_GoBack"/>
      <w:bookmarkEnd w:id="1"/>
      <w:r>
        <w:rPr>
          <w:sz w:val="22"/>
        </w:rPr>
        <w:t>.</w:t>
      </w:r>
    </w:p>
    <w:p w14:paraId="15000000">
      <w:pPr>
        <w:pStyle w:val="Style_2"/>
        <w:widowControl w:val="0"/>
        <w:ind w:firstLine="709" w:left="0"/>
        <w:jc w:val="both"/>
        <w:rPr>
          <w:sz w:val="22"/>
        </w:rPr>
      </w:pPr>
      <w:r>
        <w:rPr>
          <w:sz w:val="22"/>
        </w:rPr>
        <w:t>3.4. При производстве работ подрядчик обязан:</w:t>
      </w:r>
    </w:p>
    <w:p w14:paraId="16000000">
      <w:pPr>
        <w:pStyle w:val="Style_2"/>
        <w:widowControl w:val="0"/>
        <w:ind w:firstLine="709" w:left="0"/>
        <w:jc w:val="both"/>
        <w:rPr>
          <w:sz w:val="22"/>
        </w:rPr>
      </w:pPr>
      <w:r>
        <w:rPr>
          <w:sz w:val="22"/>
        </w:rPr>
        <w:t>- в течение 1 дня со дня заключения договора предоставить Заказчику копию приказа о назначении ответственного лица Подрядчика за производство работ, а также доверенность на право совершать действия от лица подрядчика, связанные с исполнением условий договора;</w:t>
      </w:r>
    </w:p>
    <w:p w14:paraId="17000000">
      <w:pPr>
        <w:pStyle w:val="Style_2"/>
        <w:widowControl w:val="0"/>
        <w:ind w:firstLine="709" w:left="0"/>
        <w:jc w:val="both"/>
        <w:rPr>
          <w:sz w:val="22"/>
        </w:rPr>
      </w:pPr>
      <w:r>
        <w:rPr>
          <w:sz w:val="22"/>
        </w:rPr>
        <w:t>- полный перечень, с указанием Ф.И.О. и паспортных данных, работников, которые будут участвовать в процессе производства работ;</w:t>
      </w:r>
    </w:p>
    <w:p w14:paraId="18000000">
      <w:pPr>
        <w:pStyle w:val="Style_2"/>
        <w:widowControl w:val="1"/>
        <w:numPr>
          <w:ilvl w:val="0"/>
          <w:numId w:val="2"/>
        </w:numPr>
        <w:tabs>
          <w:tab w:leader="none" w:pos="851" w:val="left"/>
        </w:tabs>
        <w:ind w:firstLine="709" w:left="0"/>
        <w:jc w:val="center"/>
        <w:rPr>
          <w:b w:val="1"/>
          <w:sz w:val="22"/>
        </w:rPr>
      </w:pPr>
      <w:r>
        <w:rPr>
          <w:b w:val="1"/>
          <w:sz w:val="22"/>
        </w:rPr>
        <w:t>ПОРЯДОК РАСЧЕТОВ</w:t>
      </w:r>
    </w:p>
    <w:p w14:paraId="19000000">
      <w:pPr>
        <w:pStyle w:val="Style_2"/>
        <w:widowControl w:val="1"/>
        <w:tabs>
          <w:tab w:leader="none" w:pos="851" w:val="left"/>
        </w:tabs>
        <w:ind w:firstLine="709" w:left="0"/>
        <w:jc w:val="both"/>
        <w:rPr>
          <w:sz w:val="22"/>
        </w:rPr>
      </w:pPr>
      <w:r>
        <w:rPr>
          <w:sz w:val="22"/>
        </w:rPr>
        <w:t>4.1. Оплата фактически выполненных работ производится Заказчиком на основании счета, счет-фактуры, акта сдачи-приемки выполненных работ в течение 10 (десяти) рабочих дней с момента подписания акта сдачи-приемки выполненных работ.</w:t>
      </w:r>
    </w:p>
    <w:p w14:paraId="1A000000">
      <w:pPr>
        <w:pStyle w:val="Style_2"/>
        <w:widowControl w:val="1"/>
        <w:tabs>
          <w:tab w:leader="none" w:pos="851" w:val="left"/>
        </w:tabs>
        <w:ind w:firstLine="709" w:left="0"/>
        <w:jc w:val="both"/>
        <w:rPr>
          <w:sz w:val="22"/>
        </w:rPr>
      </w:pPr>
      <w:r>
        <w:rPr>
          <w:sz w:val="22"/>
        </w:rPr>
        <w:t>4.2.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14:paraId="1B000000">
      <w:pPr>
        <w:pStyle w:val="Style_2"/>
        <w:widowControl w:val="1"/>
        <w:tabs>
          <w:tab w:leader="none" w:pos="851" w:val="left"/>
        </w:tabs>
        <w:ind w:firstLine="709" w:left="0"/>
        <w:jc w:val="both"/>
        <w:rPr>
          <w:sz w:val="22"/>
        </w:rPr>
      </w:pPr>
      <w:r>
        <w:rPr>
          <w:sz w:val="22"/>
        </w:rPr>
        <w:t>4.3.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14:paraId="1C000000">
      <w:pPr>
        <w:pStyle w:val="Style_2"/>
        <w:widowControl w:val="1"/>
        <w:numPr>
          <w:ilvl w:val="0"/>
          <w:numId w:val="2"/>
        </w:numPr>
        <w:ind w:firstLine="709" w:left="0"/>
        <w:jc w:val="center"/>
        <w:rPr>
          <w:b w:val="1"/>
          <w:sz w:val="22"/>
        </w:rPr>
      </w:pPr>
      <w:r>
        <w:rPr>
          <w:b w:val="1"/>
          <w:sz w:val="22"/>
        </w:rPr>
        <w:t>ПРАВА И ОБЯЗАННОСТИ СТОРОН</w:t>
      </w:r>
    </w:p>
    <w:p w14:paraId="1D000000">
      <w:pPr>
        <w:pStyle w:val="Style_2"/>
        <w:widowControl w:val="1"/>
        <w:numPr>
          <w:ilvl w:val="1"/>
          <w:numId w:val="3"/>
        </w:numPr>
        <w:ind w:firstLine="709" w:left="0"/>
        <w:jc w:val="both"/>
        <w:rPr>
          <w:b w:val="1"/>
          <w:sz w:val="22"/>
        </w:rPr>
      </w:pPr>
      <w:r>
        <w:rPr>
          <w:b w:val="1"/>
          <w:sz w:val="22"/>
        </w:rPr>
        <w:t xml:space="preserve"> Заказчик обязан:</w:t>
      </w:r>
    </w:p>
    <w:p w14:paraId="1E000000">
      <w:pPr>
        <w:pStyle w:val="Style_2"/>
        <w:widowControl w:val="1"/>
        <w:numPr>
          <w:ilvl w:val="2"/>
          <w:numId w:val="3"/>
        </w:numPr>
        <w:tabs>
          <w:tab w:leader="none" w:pos="0" w:val="left"/>
          <w:tab w:leader="none" w:pos="1276" w:val="left"/>
        </w:tabs>
        <w:ind w:firstLine="709" w:left="0"/>
        <w:contextualSpacing w:val="1"/>
        <w:jc w:val="both"/>
        <w:rPr>
          <w:sz w:val="22"/>
        </w:rPr>
      </w:pPr>
      <w:r>
        <w:rPr>
          <w:sz w:val="22"/>
        </w:rPr>
        <w:t xml:space="preserve"> В сроки и в порядке, которые предусмотрены настоящим Договором, с участием Подрядчика принять фактически выполненные работы, а при обнаружении отступлений от настоящего Договора, ухудшающих результат выполненных работ, или иные недостатки в фактически выполненных работах немедленно заявить об этом Подрядчику, установив срок для их устранения.</w:t>
      </w:r>
    </w:p>
    <w:p w14:paraId="1F000000">
      <w:pPr>
        <w:pStyle w:val="Style_2"/>
        <w:widowControl w:val="1"/>
        <w:numPr>
          <w:ilvl w:val="2"/>
          <w:numId w:val="3"/>
        </w:numPr>
        <w:tabs>
          <w:tab w:leader="none" w:pos="0" w:val="left"/>
          <w:tab w:leader="none" w:pos="1418" w:val="left"/>
        </w:tabs>
        <w:ind w:firstLine="709" w:left="0"/>
        <w:contextualSpacing w:val="1"/>
        <w:jc w:val="both"/>
        <w:rPr>
          <w:sz w:val="22"/>
        </w:rPr>
      </w:pPr>
      <w:r>
        <w:rPr>
          <w:sz w:val="22"/>
        </w:rPr>
        <w:t>Производить оплату фактически выполненных Подрядчиком работ на условиях настоящего Договора.</w:t>
      </w:r>
    </w:p>
    <w:p w14:paraId="20000000">
      <w:pPr>
        <w:widowControl w:val="1"/>
        <w:tabs>
          <w:tab w:leader="none" w:pos="426" w:val="left"/>
          <w:tab w:leader="none" w:pos="1560" w:val="left"/>
          <w:tab w:leader="none" w:pos="1701" w:val="left"/>
          <w:tab w:leader="none" w:pos="1843" w:val="left"/>
        </w:tabs>
        <w:ind w:firstLine="709"/>
        <w:jc w:val="both"/>
        <w:rPr>
          <w:rFonts w:ascii="Times New Roman" w:hAnsi="Times New Roman"/>
        </w:rPr>
      </w:pPr>
      <w:r>
        <w:rPr>
          <w:rFonts w:ascii="Times New Roman" w:hAnsi="Times New Roman"/>
        </w:rPr>
        <w:t>5.1.3     По окончании выполнения Подрядчиком работ организовать приёмку их результата надлежащего качества.</w:t>
      </w:r>
    </w:p>
    <w:p w14:paraId="21000000">
      <w:pPr>
        <w:pStyle w:val="Style_2"/>
        <w:widowControl w:val="1"/>
        <w:numPr>
          <w:ilvl w:val="1"/>
          <w:numId w:val="3"/>
        </w:numPr>
        <w:ind w:firstLine="709" w:left="0"/>
        <w:jc w:val="both"/>
        <w:rPr>
          <w:b w:val="1"/>
          <w:sz w:val="22"/>
        </w:rPr>
      </w:pPr>
      <w:r>
        <w:rPr>
          <w:b w:val="1"/>
          <w:sz w:val="22"/>
        </w:rPr>
        <w:t>Подрядчик обязан:</w:t>
      </w:r>
    </w:p>
    <w:p w14:paraId="22000000">
      <w:pPr>
        <w:widowControl w:val="1"/>
        <w:numPr>
          <w:ilvl w:val="2"/>
          <w:numId w:val="3"/>
        </w:numPr>
        <w:tabs>
          <w:tab w:leader="none" w:pos="1418" w:val="left"/>
        </w:tabs>
        <w:spacing w:after="0" w:line="240" w:lineRule="auto"/>
        <w:ind w:firstLine="709" w:left="0"/>
        <w:jc w:val="both"/>
        <w:rPr>
          <w:rStyle w:val="Style_3_ch"/>
          <w:rFonts w:ascii="Times New Roman" w:hAnsi="Times New Roman"/>
          <w:i w:val="0"/>
        </w:rPr>
      </w:pPr>
      <w:r>
        <w:rPr>
          <w:rStyle w:val="Style_3_ch"/>
          <w:rFonts w:ascii="Times New Roman" w:hAnsi="Times New Roman"/>
          <w:i w:val="0"/>
        </w:rPr>
        <w:t>Выполнить работы на условиях настоящего Договора.</w:t>
      </w:r>
    </w:p>
    <w:p w14:paraId="23000000">
      <w:pPr>
        <w:widowControl w:val="1"/>
        <w:numPr>
          <w:ilvl w:val="2"/>
          <w:numId w:val="3"/>
        </w:numPr>
        <w:tabs>
          <w:tab w:leader="none" w:pos="1418" w:val="left"/>
        </w:tabs>
        <w:spacing w:after="0" w:line="240" w:lineRule="auto"/>
        <w:ind w:firstLine="709" w:left="0"/>
        <w:jc w:val="both"/>
        <w:rPr>
          <w:rStyle w:val="Style_3_ch"/>
          <w:rFonts w:ascii="Times New Roman" w:hAnsi="Times New Roman"/>
          <w:i w:val="0"/>
        </w:rPr>
      </w:pPr>
      <w:r>
        <w:rPr>
          <w:rStyle w:val="Style_3_ch"/>
          <w:rFonts w:ascii="Times New Roman" w:hAnsi="Times New Roman"/>
          <w:i w:val="0"/>
        </w:rPr>
        <w:t xml:space="preserve">Выполнять своевременную </w:t>
      </w:r>
      <w:r>
        <w:rPr>
          <w:rStyle w:val="Style_3_ch"/>
          <w:rFonts w:ascii="Times New Roman" w:hAnsi="Times New Roman"/>
          <w:i w:val="0"/>
        </w:rPr>
        <w:t>фотофиксацию</w:t>
      </w:r>
      <w:r>
        <w:rPr>
          <w:rStyle w:val="Style_3_ch"/>
          <w:rFonts w:ascii="Times New Roman" w:hAnsi="Times New Roman"/>
          <w:i w:val="0"/>
        </w:rPr>
        <w:t xml:space="preserve"> выполняемых работ.</w:t>
      </w:r>
    </w:p>
    <w:p w14:paraId="24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Выполнять и обеспечивать выполнение работ с соблюдением норм пожарной безопасности, техники безопасности, охраны окружающей среды.</w:t>
      </w:r>
    </w:p>
    <w:p w14:paraId="25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Предъявить Заказчику выполненные работы на предмет определения их качества и объёмов.</w:t>
      </w:r>
    </w:p>
    <w:p w14:paraId="26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 xml:space="preserve">Соответствовать требованиям ч.1 ст. 31 ФЗ 44. </w:t>
      </w:r>
    </w:p>
    <w:p w14:paraId="27000000">
      <w:pPr>
        <w:widowControl w:val="1"/>
        <w:numPr>
          <w:ilvl w:val="1"/>
          <w:numId w:val="3"/>
        </w:numPr>
        <w:spacing w:after="0" w:line="240" w:lineRule="auto"/>
        <w:ind w:firstLine="709" w:left="0"/>
        <w:jc w:val="both"/>
        <w:rPr>
          <w:rFonts w:ascii="Times New Roman" w:hAnsi="Times New Roman"/>
          <w:b w:val="1"/>
        </w:rPr>
      </w:pPr>
      <w:r>
        <w:rPr>
          <w:rFonts w:ascii="Times New Roman" w:hAnsi="Times New Roman"/>
          <w:b w:val="1"/>
        </w:rPr>
        <w:t>Заказчик имеет право:</w:t>
      </w:r>
    </w:p>
    <w:p w14:paraId="28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В любое время проверять ход и качество выполнения работ Подрядчиком, соответствие   выполненных работ условиям настоящего Договора.</w:t>
      </w:r>
    </w:p>
    <w:p w14:paraId="29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Требовать надлежащего выполнения Подрядчиком условий настоящего Договора.</w:t>
      </w:r>
    </w:p>
    <w:p w14:paraId="2A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14:paraId="2B000000">
      <w:pPr>
        <w:widowControl w:val="1"/>
        <w:numPr>
          <w:ilvl w:val="1"/>
          <w:numId w:val="3"/>
        </w:numPr>
        <w:spacing w:after="0" w:line="240" w:lineRule="auto"/>
        <w:ind w:firstLine="709" w:left="0"/>
        <w:jc w:val="both"/>
        <w:rPr>
          <w:rFonts w:ascii="Times New Roman" w:hAnsi="Times New Roman"/>
          <w:b w:val="1"/>
        </w:rPr>
      </w:pPr>
      <w:r>
        <w:rPr>
          <w:rFonts w:ascii="Times New Roman" w:hAnsi="Times New Roman"/>
          <w:b w:val="1"/>
        </w:rPr>
        <w:t>Подрядчик имеет право:</w:t>
      </w:r>
    </w:p>
    <w:p w14:paraId="2C000000">
      <w:pPr>
        <w:widowControl w:val="1"/>
        <w:numPr>
          <w:ilvl w:val="2"/>
          <w:numId w:val="3"/>
        </w:numPr>
        <w:tabs>
          <w:tab w:leader="none" w:pos="142" w:val="left"/>
          <w:tab w:leader="none" w:pos="1418" w:val="left"/>
        </w:tabs>
        <w:spacing w:after="0" w:line="240" w:lineRule="auto"/>
        <w:ind w:firstLine="709" w:left="0"/>
        <w:jc w:val="both"/>
        <w:rPr>
          <w:rFonts w:ascii="Times New Roman" w:hAnsi="Times New Roman"/>
        </w:rPr>
      </w:pPr>
      <w:r>
        <w:rPr>
          <w:rFonts w:ascii="Times New Roman" w:hAnsi="Times New Roman"/>
        </w:rPr>
        <w:t>Требовать от Заказчика обеспечения надлежащих условий выполнения работ.</w:t>
      </w:r>
    </w:p>
    <w:p w14:paraId="2D000000">
      <w:pPr>
        <w:widowControl w:val="1"/>
        <w:numPr>
          <w:ilvl w:val="2"/>
          <w:numId w:val="3"/>
        </w:numPr>
        <w:tabs>
          <w:tab w:leader="none" w:pos="142" w:val="left"/>
          <w:tab w:leader="none" w:pos="1418" w:val="left"/>
        </w:tabs>
        <w:spacing w:after="0" w:line="240" w:lineRule="auto"/>
        <w:ind w:firstLine="709" w:left="0"/>
        <w:jc w:val="both"/>
        <w:rPr>
          <w:rFonts w:ascii="Times New Roman" w:hAnsi="Times New Roman"/>
        </w:rPr>
      </w:pPr>
      <w:r>
        <w:rPr>
          <w:rFonts w:ascii="Times New Roman" w:hAnsi="Times New Roman"/>
        </w:rPr>
        <w:t>Требовать от Заказчика осуществления приемки надлежащим образом выполненных работ.</w:t>
      </w:r>
    </w:p>
    <w:p w14:paraId="2E000000">
      <w:pPr>
        <w:widowControl w:val="1"/>
        <w:numPr>
          <w:ilvl w:val="2"/>
          <w:numId w:val="3"/>
        </w:numPr>
        <w:tabs>
          <w:tab w:leader="none" w:pos="142" w:val="left"/>
        </w:tabs>
        <w:spacing w:after="0" w:line="240" w:lineRule="auto"/>
        <w:ind w:firstLine="709" w:left="0"/>
        <w:jc w:val="both"/>
        <w:rPr>
          <w:rFonts w:ascii="Times New Roman" w:hAnsi="Times New Roman"/>
        </w:rPr>
      </w:pPr>
      <w:r>
        <w:rPr>
          <w:rFonts w:ascii="Times New Roman" w:hAnsi="Times New Roman"/>
        </w:rPr>
        <w:t>Требовать от Заказчика оплаты фактически выполненных работ.</w:t>
      </w:r>
    </w:p>
    <w:p w14:paraId="2F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Привлекать к выполнению работ по настоящему Договору субподрядчиков, за действия которых несёт ответственность перед Заказчиком.</w:t>
      </w:r>
    </w:p>
    <w:p w14:paraId="30000000">
      <w:pPr>
        <w:pStyle w:val="Style_2"/>
        <w:widowControl w:val="1"/>
        <w:numPr>
          <w:ilvl w:val="0"/>
          <w:numId w:val="2"/>
        </w:numPr>
        <w:tabs>
          <w:tab w:leader="none" w:pos="851" w:val="left"/>
        </w:tabs>
        <w:ind w:firstLine="709" w:left="0"/>
        <w:jc w:val="center"/>
        <w:rPr>
          <w:b w:val="1"/>
          <w:sz w:val="22"/>
        </w:rPr>
      </w:pPr>
      <w:r>
        <w:rPr>
          <w:b w:val="1"/>
          <w:sz w:val="22"/>
        </w:rPr>
        <w:t>ПОРЯДОК СДАЧИ И ПРИЕМКИ РАБОТ</w:t>
      </w:r>
    </w:p>
    <w:p w14:paraId="31000000">
      <w:pPr>
        <w:pStyle w:val="Style_2"/>
        <w:widowControl w:val="1"/>
        <w:numPr>
          <w:ilvl w:val="1"/>
          <w:numId w:val="4"/>
        </w:numPr>
        <w:tabs>
          <w:tab w:leader="none" w:pos="0" w:val="left"/>
          <w:tab w:leader="none" w:pos="426" w:val="left"/>
          <w:tab w:leader="none" w:pos="1276" w:val="left"/>
        </w:tabs>
        <w:ind w:firstLine="709" w:left="0"/>
        <w:jc w:val="both"/>
        <w:rPr>
          <w:sz w:val="22"/>
        </w:rPr>
      </w:pPr>
      <w:r>
        <w:rPr>
          <w:sz w:val="22"/>
        </w:rPr>
        <w:t xml:space="preserve"> По завершении всех работ по настоящему Договору, Подрядчик извещает Заказчика о готовности сдать выполненные работы.</w:t>
      </w:r>
    </w:p>
    <w:p w14:paraId="32000000">
      <w:pPr>
        <w:widowControl w:val="1"/>
        <w:tabs>
          <w:tab w:leader="none" w:pos="709" w:val="left"/>
        </w:tabs>
        <w:ind w:firstLine="709"/>
        <w:jc w:val="both"/>
        <w:rPr>
          <w:rFonts w:ascii="Times New Roman" w:hAnsi="Times New Roman"/>
        </w:rPr>
      </w:pPr>
      <w:r>
        <w:rPr>
          <w:rFonts w:ascii="Times New Roman" w:hAnsi="Times New Roman"/>
        </w:rPr>
        <w:t>6.2. Заказчик, получивший сообщение Подрядчика, в срок не позднее 3 (трёх) дней принимает выполненные работы.</w:t>
      </w:r>
    </w:p>
    <w:p w14:paraId="33000000">
      <w:pPr>
        <w:widowControl w:val="1"/>
        <w:tabs>
          <w:tab w:leader="none" w:pos="851" w:val="left"/>
        </w:tabs>
        <w:ind w:firstLine="709"/>
        <w:jc w:val="both"/>
        <w:rPr>
          <w:rFonts w:ascii="Times New Roman" w:hAnsi="Times New Roman"/>
        </w:rPr>
      </w:pPr>
      <w:r>
        <w:rPr>
          <w:rFonts w:ascii="Times New Roman" w:hAnsi="Times New Roman"/>
        </w:rPr>
        <w:t>6.3.  Оплата производится за выполненные работы по факту подписания Сторонами Акта выполненных работ по форме КС-2, Справки о стоимости выполненных работ и затрат по форме КС-3, подписанных Заказчиком и Подрядчиком, счета и счет-фактуры.</w:t>
      </w:r>
    </w:p>
    <w:p w14:paraId="34000000">
      <w:pPr>
        <w:widowControl w:val="1"/>
        <w:tabs>
          <w:tab w:leader="none" w:pos="851" w:val="left"/>
        </w:tabs>
        <w:ind w:firstLine="709"/>
        <w:jc w:val="both"/>
        <w:rPr>
          <w:rFonts w:ascii="Times New Roman" w:hAnsi="Times New Roman"/>
        </w:rPr>
      </w:pPr>
      <w:r>
        <w:rPr>
          <w:rFonts w:ascii="Times New Roman" w:hAnsi="Times New Roman"/>
        </w:rPr>
        <w:t>6.5.  Датой приёмки выполненных работ считается дата подписания Акта о приёмке выполненных работ Заказчиком.</w:t>
      </w:r>
    </w:p>
    <w:p w14:paraId="35000000">
      <w:pPr>
        <w:pStyle w:val="Style_2"/>
        <w:widowControl w:val="1"/>
        <w:numPr>
          <w:ilvl w:val="0"/>
          <w:numId w:val="2"/>
        </w:numPr>
        <w:tabs>
          <w:tab w:leader="none" w:pos="426" w:val="left"/>
        </w:tabs>
        <w:ind w:firstLine="709" w:left="0"/>
        <w:jc w:val="center"/>
        <w:rPr>
          <w:b w:val="1"/>
          <w:sz w:val="22"/>
        </w:rPr>
      </w:pPr>
      <w:r>
        <w:rPr>
          <w:b w:val="1"/>
          <w:sz w:val="22"/>
        </w:rPr>
        <w:t>ОТВЕТСТВЕННОСТЬ СТОРОН И ИНЫЕ ПОСЛЕДСТВИЯ НАРУШЕНИЯ ОБЯЗАТЕЛЬСТВ</w:t>
      </w:r>
    </w:p>
    <w:p w14:paraId="36000000">
      <w:pPr>
        <w:widowControl w:val="1"/>
        <w:ind w:firstLine="709"/>
        <w:contextualSpacing w:val="1"/>
        <w:jc w:val="both"/>
        <w:rPr>
          <w:rFonts w:ascii="Times New Roman" w:hAnsi="Times New Roman"/>
          <w:color w:val="000000"/>
          <w:highlight w:val="yellow"/>
        </w:rPr>
      </w:pPr>
      <w:r>
        <w:rPr>
          <w:rFonts w:ascii="Times New Roman" w:hAnsi="Times New Roman"/>
          <w:color w:val="000000"/>
        </w:rPr>
        <w:t>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14:paraId="37000000">
      <w:pPr>
        <w:widowControl w:val="1"/>
        <w:ind w:firstLine="709"/>
        <w:jc w:val="both"/>
        <w:rPr>
          <w:rFonts w:ascii="Times New Roman" w:hAnsi="Times New Roman"/>
        </w:rPr>
      </w:pPr>
      <w:r>
        <w:rPr>
          <w:rFonts w:ascii="Times New Roman" w:hAnsi="Times New Roman"/>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8000000">
      <w:pPr>
        <w:widowControl w:val="1"/>
        <w:ind w:firstLine="709"/>
        <w:jc w:val="both"/>
        <w:rPr>
          <w:rFonts w:ascii="Times New Roman" w:hAnsi="Times New Roman"/>
        </w:rPr>
      </w:pPr>
      <w:r>
        <w:rPr>
          <w:rFonts w:ascii="Times New Roman" w:hAnsi="Times New Roman"/>
        </w:rPr>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w:t>
      </w:r>
      <w:r>
        <w:rPr>
          <w:rFonts w:ascii="Times New Roman" w:hAnsi="Times New Roman"/>
        </w:rPr>
        <w:t xml:space="preserve"> </w:t>
      </w:r>
      <w:r>
        <w:rPr>
          <w:rFonts w:ascii="Times New Roman" w:hAnsi="Times New Roman"/>
        </w:rPr>
        <w:t xml:space="preserve">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 </w:t>
      </w:r>
    </w:p>
    <w:p w14:paraId="39000000">
      <w:pPr>
        <w:widowControl w:val="1"/>
        <w:ind w:firstLine="709"/>
        <w:jc w:val="both"/>
        <w:rPr>
          <w:rFonts w:ascii="Times New Roman" w:hAnsi="Times New Roman"/>
        </w:rPr>
      </w:pPr>
      <w:r>
        <w:rPr>
          <w:rFonts w:ascii="Times New Roman" w:hAnsi="Times New Roman"/>
        </w:rPr>
        <w:t>а) 1000 рублей, если цена Договора не превышает 3 млн. рублей (включительно);</w:t>
      </w:r>
    </w:p>
    <w:p w14:paraId="3A000000">
      <w:pPr>
        <w:widowControl w:val="1"/>
        <w:ind w:firstLine="709"/>
        <w:jc w:val="both"/>
        <w:rPr>
          <w:rFonts w:ascii="Times New Roman" w:hAnsi="Times New Roman"/>
        </w:rPr>
      </w:pPr>
      <w:r>
        <w:rPr>
          <w:rFonts w:ascii="Times New Roman" w:hAnsi="Times New Roman"/>
        </w:rPr>
        <w:t xml:space="preserve">7.4.  </w:t>
      </w:r>
      <w:r>
        <w:rPr>
          <w:rFonts w:ascii="Times New Roman" w:hAnsi="Times New Roman"/>
        </w:rPr>
        <w:t xml:space="preserve">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 </w:t>
      </w:r>
      <w:r>
        <w:rPr>
          <w:rFonts w:ascii="Times New Roman" w:hAnsi="Times New Roman"/>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3B000000">
      <w:pPr>
        <w:widowControl w:val="1"/>
        <w:ind w:firstLine="709"/>
        <w:jc w:val="both"/>
        <w:rPr>
          <w:rFonts w:ascii="Times New Roman" w:hAnsi="Times New Roman"/>
        </w:rPr>
      </w:pPr>
      <w:r>
        <w:rPr>
          <w:rFonts w:ascii="Times New Roman" w:hAnsi="Times New Roman"/>
        </w:rPr>
        <w:t>7.5.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порядке, 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w:t>
      </w:r>
      <w:r>
        <w:rPr>
          <w:rFonts w:ascii="Times New Roman" w:hAnsi="Times New Roman"/>
        </w:rPr>
        <w:t xml:space="preserve"> </w:t>
      </w:r>
    </w:p>
    <w:p w14:paraId="3C000000">
      <w:pPr>
        <w:widowControl w:val="1"/>
        <w:ind w:firstLine="709"/>
        <w:jc w:val="both"/>
        <w:rPr>
          <w:rFonts w:ascii="Times New Roman" w:hAnsi="Times New Roman"/>
        </w:rPr>
      </w:pPr>
      <w:r>
        <w:rPr>
          <w:rFonts w:ascii="Times New Roman" w:hAnsi="Times New Roman"/>
        </w:rPr>
        <w:t>а) 10 процентов цены Договора в случае, если цена Договора   не превышает 3 млн. рублей;</w:t>
      </w:r>
    </w:p>
    <w:p w14:paraId="3D000000">
      <w:pPr>
        <w:widowControl w:val="1"/>
        <w:tabs>
          <w:tab w:leader="none" w:pos="426" w:val="left"/>
        </w:tabs>
        <w:ind w:firstLine="709"/>
        <w:jc w:val="both"/>
        <w:rPr>
          <w:rFonts w:ascii="Times New Roman" w:hAnsi="Times New Roman"/>
        </w:rPr>
      </w:pPr>
      <w:r>
        <w:rPr>
          <w:rFonts w:ascii="Times New Roman" w:hAnsi="Times New Roman"/>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E000000">
      <w:pPr>
        <w:widowControl w:val="1"/>
        <w:ind w:firstLine="709"/>
        <w:jc w:val="both"/>
        <w:rPr>
          <w:rFonts w:ascii="Times New Roman" w:hAnsi="Times New Roman"/>
        </w:rPr>
      </w:pPr>
      <w:r>
        <w:rPr>
          <w:rFonts w:ascii="Times New Roman" w:hAnsi="Times New Roman"/>
        </w:rPr>
        <w:t>7.7.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14:paraId="3F000000">
      <w:pPr>
        <w:pStyle w:val="Style_2"/>
        <w:widowControl w:val="1"/>
        <w:numPr>
          <w:ilvl w:val="0"/>
          <w:numId w:val="2"/>
        </w:numPr>
        <w:tabs>
          <w:tab w:leader="none" w:pos="851" w:val="left"/>
        </w:tabs>
        <w:ind w:firstLine="709" w:left="0"/>
        <w:jc w:val="center"/>
        <w:rPr>
          <w:b w:val="1"/>
          <w:sz w:val="22"/>
        </w:rPr>
      </w:pPr>
      <w:r>
        <w:rPr>
          <w:b w:val="1"/>
          <w:sz w:val="22"/>
        </w:rPr>
        <w:t>ФОРС-МАЖОР</w:t>
      </w:r>
    </w:p>
    <w:p w14:paraId="40000000">
      <w:pPr>
        <w:pStyle w:val="Style_2"/>
        <w:widowControl w:val="1"/>
        <w:numPr>
          <w:ilvl w:val="1"/>
          <w:numId w:val="5"/>
        </w:numPr>
        <w:tabs>
          <w:tab w:leader="none" w:pos="0" w:val="left"/>
          <w:tab w:leader="none" w:pos="426" w:val="left"/>
        </w:tabs>
        <w:ind w:firstLine="709" w:left="0"/>
        <w:jc w:val="both"/>
        <w:rPr>
          <w:sz w:val="22"/>
        </w:rPr>
      </w:pPr>
      <w:r>
        <w:rPr>
          <w:sz w:val="22"/>
        </w:rPr>
        <w:t xml:space="preserve">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1000000">
      <w:pPr>
        <w:pStyle w:val="Style_2"/>
        <w:widowControl w:val="1"/>
        <w:numPr>
          <w:ilvl w:val="1"/>
          <w:numId w:val="5"/>
        </w:numPr>
        <w:tabs>
          <w:tab w:leader="none" w:pos="0" w:val="left"/>
          <w:tab w:leader="none" w:pos="426" w:val="left"/>
        </w:tabs>
        <w:ind w:firstLine="709" w:left="0"/>
        <w:jc w:val="both"/>
        <w:rPr>
          <w:sz w:val="22"/>
        </w:rPr>
      </w:pPr>
      <w:r>
        <w:rPr>
          <w:sz w:val="22"/>
        </w:rPr>
        <w:t xml:space="preserve"> При наступлении указанных в пункте 8.1.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14:paraId="42000000">
      <w:pPr>
        <w:pStyle w:val="Style_2"/>
        <w:widowControl w:val="1"/>
        <w:numPr>
          <w:ilvl w:val="0"/>
          <w:numId w:val="2"/>
        </w:numPr>
        <w:tabs>
          <w:tab w:leader="none" w:pos="851" w:val="left"/>
        </w:tabs>
        <w:ind w:firstLine="709" w:left="0"/>
        <w:jc w:val="center"/>
        <w:rPr>
          <w:b w:val="1"/>
          <w:sz w:val="22"/>
        </w:rPr>
      </w:pPr>
      <w:r>
        <w:rPr>
          <w:b w:val="1"/>
          <w:sz w:val="22"/>
        </w:rPr>
        <w:t>СРОКИ ДЕЙСТВИЯ ДОГОВОРА И ПОРЯДОК ЕГО ПРЕКРАЩЕНИЯ</w:t>
      </w:r>
    </w:p>
    <w:p w14:paraId="43000000">
      <w:pPr>
        <w:pStyle w:val="Style_2"/>
        <w:widowControl w:val="1"/>
        <w:numPr>
          <w:ilvl w:val="1"/>
          <w:numId w:val="6"/>
        </w:numPr>
        <w:tabs>
          <w:tab w:leader="none" w:pos="1134" w:val="left"/>
        </w:tabs>
        <w:ind w:firstLine="709" w:left="0"/>
        <w:jc w:val="both"/>
        <w:rPr>
          <w:sz w:val="22"/>
        </w:rPr>
      </w:pPr>
      <w:r>
        <w:rPr>
          <w:sz w:val="22"/>
        </w:rPr>
        <w:t xml:space="preserve"> Настоящий Договор вступает в силу с момента подписания и действует до 31.12.2026 г.</w:t>
      </w:r>
    </w:p>
    <w:p w14:paraId="44000000">
      <w:pPr>
        <w:pStyle w:val="Style_2"/>
        <w:widowControl w:val="1"/>
        <w:numPr>
          <w:ilvl w:val="1"/>
          <w:numId w:val="6"/>
        </w:numPr>
        <w:tabs>
          <w:tab w:leader="none" w:pos="426" w:val="left"/>
          <w:tab w:leader="none" w:pos="1134" w:val="left"/>
        </w:tabs>
        <w:ind w:firstLine="709" w:left="0"/>
        <w:jc w:val="both"/>
        <w:rPr>
          <w:sz w:val="22"/>
        </w:rPr>
      </w:pPr>
      <w:r>
        <w:rPr>
          <w:sz w:val="22"/>
        </w:rPr>
        <w:t xml:space="preserve">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5000000">
      <w:pPr>
        <w:pStyle w:val="Style_2"/>
        <w:widowControl w:val="1"/>
        <w:numPr>
          <w:ilvl w:val="1"/>
          <w:numId w:val="6"/>
        </w:numPr>
        <w:tabs>
          <w:tab w:leader="none" w:pos="426" w:val="left"/>
          <w:tab w:leader="none" w:pos="1276" w:val="left"/>
        </w:tabs>
        <w:ind w:firstLine="709" w:left="0"/>
        <w:jc w:val="both"/>
        <w:rPr>
          <w:sz w:val="22"/>
        </w:rPr>
      </w:pPr>
      <w:r>
        <w:rPr>
          <w:sz w:val="22"/>
        </w:rPr>
        <w:t>Настоящий Договор, может быть, расторгнут в порядке и на условиях, установленных действующим законодательством.</w:t>
      </w:r>
    </w:p>
    <w:p w14:paraId="46000000">
      <w:pPr>
        <w:pStyle w:val="Style_2"/>
        <w:widowControl w:val="1"/>
        <w:numPr>
          <w:ilvl w:val="0"/>
          <w:numId w:val="2"/>
        </w:numPr>
        <w:tabs>
          <w:tab w:leader="none" w:pos="851" w:val="left"/>
        </w:tabs>
        <w:ind w:firstLine="709" w:left="0"/>
        <w:jc w:val="center"/>
        <w:rPr>
          <w:b w:val="1"/>
          <w:sz w:val="22"/>
        </w:rPr>
      </w:pPr>
      <w:r>
        <w:rPr>
          <w:b w:val="1"/>
          <w:sz w:val="22"/>
        </w:rPr>
        <w:t>ПРОЧИЕ УСЛОВИЯ</w:t>
      </w:r>
    </w:p>
    <w:p w14:paraId="47000000">
      <w:pPr>
        <w:pStyle w:val="Style_2"/>
        <w:widowControl w:val="1"/>
        <w:numPr>
          <w:ilvl w:val="1"/>
          <w:numId w:val="7"/>
        </w:numPr>
        <w:tabs>
          <w:tab w:leader="none" w:pos="426" w:val="left"/>
        </w:tabs>
        <w:ind w:firstLine="709" w:left="0"/>
        <w:contextualSpacing w:val="1"/>
        <w:jc w:val="both"/>
        <w:rPr>
          <w:sz w:val="22"/>
        </w:rPr>
      </w:pPr>
      <w:r>
        <w:rPr>
          <w:sz w:val="22"/>
        </w:rPr>
        <w:t>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48000000">
      <w:pPr>
        <w:pStyle w:val="Style_2"/>
        <w:widowControl w:val="1"/>
        <w:numPr>
          <w:ilvl w:val="1"/>
          <w:numId w:val="7"/>
        </w:numPr>
        <w:tabs>
          <w:tab w:leader="none" w:pos="426" w:val="left"/>
        </w:tabs>
        <w:ind w:firstLine="709" w:left="0"/>
        <w:contextualSpacing w:val="1"/>
        <w:jc w:val="both"/>
        <w:rPr>
          <w:sz w:val="22"/>
        </w:rPr>
      </w:pPr>
      <w:r>
        <w:rPr>
          <w:sz w:val="22"/>
        </w:rPr>
        <w:t>Настоящий Договор составлен в 2 (двух) экземплярах, имеющих равную юридическую силу, по одному для каждой из Сторон.</w:t>
      </w:r>
    </w:p>
    <w:p w14:paraId="49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Все споры, возникающие в процессе исполнения настоящего Договора или в связи с ним, подлежат разрешению Сторонами путем проведения переговоров.</w:t>
      </w:r>
    </w:p>
    <w:p w14:paraId="4A000000">
      <w:pPr>
        <w:pStyle w:val="Style_2"/>
        <w:widowControl w:val="1"/>
        <w:numPr>
          <w:ilvl w:val="1"/>
          <w:numId w:val="7"/>
        </w:numPr>
        <w:tabs>
          <w:tab w:leader="none" w:pos="426" w:val="left"/>
        </w:tabs>
        <w:ind w:firstLine="709" w:left="0"/>
        <w:contextualSpacing w:val="1"/>
        <w:jc w:val="both"/>
        <w:rPr>
          <w:sz w:val="22"/>
        </w:rPr>
      </w:pPr>
      <w:r>
        <w:rPr>
          <w:sz w:val="22"/>
        </w:rPr>
        <w:t xml:space="preserve">Споры и разногласия, по которым Стороны не достигли согласия, подлежат передачи на рассмотрение в Арбитражный суд города Санкт-Петербурга и Ленинградской области, в порядке, установленном действующем законодательством Российской Федерации. </w:t>
      </w:r>
    </w:p>
    <w:p w14:paraId="4B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Любые изменения и дополнения к настоящему Договору действительны, если они совершены в письменной форме и подписаны Сторонами.</w:t>
      </w:r>
    </w:p>
    <w:p w14:paraId="4C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Стороны обязаны в течение 3 (трех) дней сообщать друг другу об изменении своего места нахождения, почтового адреса, номеров телефонов, факсов и банковских реквизитов.</w:t>
      </w:r>
    </w:p>
    <w:p w14:paraId="4D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Все, что не урегулировано настоящим Договором, регулируется действующим гражданским законодательством РФ.</w:t>
      </w:r>
    </w:p>
    <w:p w14:paraId="4E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Неотъемлемой частью настоящего Договора являются следующие приложения:</w:t>
      </w:r>
    </w:p>
    <w:p w14:paraId="4F000000">
      <w:pPr>
        <w:widowControl w:val="1"/>
        <w:tabs>
          <w:tab w:leader="none" w:pos="284" w:val="left"/>
          <w:tab w:leader="none" w:pos="851" w:val="left"/>
        </w:tabs>
        <w:ind w:firstLine="709"/>
        <w:rPr>
          <w:rFonts w:ascii="Times New Roman" w:hAnsi="Times New Roman"/>
        </w:rPr>
      </w:pPr>
      <w:r>
        <w:rPr>
          <w:rFonts w:ascii="Times New Roman" w:hAnsi="Times New Roman"/>
        </w:rPr>
        <w:t>Приложение № 1- Сводный сметный расчет стоимости строительства;</w:t>
      </w:r>
    </w:p>
    <w:p w14:paraId="50000000">
      <w:pPr>
        <w:widowControl w:val="1"/>
        <w:ind w:firstLine="709"/>
        <w:jc w:val="both"/>
        <w:rPr>
          <w:rFonts w:ascii="Times New Roman" w:hAnsi="Times New Roman"/>
        </w:rPr>
      </w:pPr>
      <w:r>
        <w:rPr>
          <w:rFonts w:ascii="Times New Roman" w:hAnsi="Times New Roman"/>
        </w:rPr>
        <w:t>Приложение № 2- Локальный сметный расчет № 02-01-01.</w:t>
      </w:r>
    </w:p>
    <w:p w14:paraId="51000000">
      <w:pPr>
        <w:pStyle w:val="Style_2"/>
        <w:widowControl w:val="1"/>
        <w:numPr>
          <w:ilvl w:val="0"/>
          <w:numId w:val="2"/>
        </w:numPr>
        <w:tabs>
          <w:tab w:leader="none" w:pos="851" w:val="left"/>
        </w:tabs>
        <w:ind w:firstLine="709" w:left="0"/>
        <w:jc w:val="center"/>
        <w:rPr>
          <w:b w:val="1"/>
          <w:sz w:val="22"/>
        </w:rPr>
      </w:pPr>
      <w:r>
        <w:rPr>
          <w:b w:val="1"/>
          <w:sz w:val="22"/>
        </w:rPr>
        <w:t>АДРЕСА И БАНКОВСКИЕ РЕКВИЗИТЫ</w:t>
      </w:r>
    </w:p>
    <w:tbl>
      <w:tblPr>
        <w:tblStyle w:val="Style_4"/>
        <w:tblW w:type="auto" w:w="0"/>
        <w:tblLayout w:type="fixed"/>
      </w:tblPr>
      <w:tblGrid>
        <w:gridCol w:w="5400"/>
        <w:gridCol w:w="5065"/>
      </w:tblGrid>
      <w:tr>
        <w:trPr>
          <w:trHeight w:hRule="atLeast" w:val="20"/>
        </w:trPr>
        <w:tc>
          <w:tcPr>
            <w:tcW w:type="dxa" w:w="5400"/>
          </w:tcPr>
          <w:p w14:paraId="52000000">
            <w:pPr>
              <w:pStyle w:val="Style_5"/>
              <w:widowControl w:val="1"/>
              <w:ind/>
              <w:contextualSpacing w:val="1"/>
              <w:rPr>
                <w:rFonts w:ascii="Times New Roman" w:hAnsi="Times New Roman"/>
                <w:sz w:val="22"/>
              </w:rPr>
            </w:pPr>
          </w:p>
        </w:tc>
        <w:tc>
          <w:tcPr>
            <w:tcW w:type="dxa" w:w="5065"/>
          </w:tcPr>
          <w:p w14:paraId="53000000">
            <w:pPr>
              <w:widowControl w:val="1"/>
              <w:ind/>
              <w:contextualSpacing w:val="1"/>
              <w:rPr>
                <w:rFonts w:ascii="Times New Roman" w:hAnsi="Times New Roman"/>
              </w:rPr>
            </w:pPr>
          </w:p>
        </w:tc>
      </w:tr>
      <w:tr>
        <w:trPr>
          <w:trHeight w:hRule="atLeast" w:val="20"/>
        </w:trPr>
        <w:tc>
          <w:tcPr>
            <w:tcW w:type="dxa" w:w="5400"/>
          </w:tcPr>
          <w:p w14:paraId="54000000">
            <w:pPr>
              <w:pStyle w:val="Style_5"/>
              <w:widowControl w:val="1"/>
              <w:ind/>
              <w:contextualSpacing w:val="1"/>
              <w:rPr>
                <w:rFonts w:ascii="Times New Roman" w:hAnsi="Times New Roman"/>
                <w:b w:val="1"/>
                <w:sz w:val="22"/>
                <w:u w:val="single"/>
              </w:rPr>
            </w:pPr>
            <w:r>
              <w:rPr>
                <w:rFonts w:ascii="Times New Roman" w:hAnsi="Times New Roman"/>
                <w:b w:val="1"/>
                <w:sz w:val="22"/>
                <w:u w:val="single"/>
              </w:rPr>
              <w:t>ЗАКАЗЧИК</w:t>
            </w:r>
          </w:p>
          <w:p w14:paraId="55000000">
            <w:pPr>
              <w:pStyle w:val="Style_5"/>
              <w:widowControl w:val="1"/>
              <w:ind/>
              <w:contextualSpacing w:val="1"/>
              <w:rPr>
                <w:rFonts w:ascii="Times New Roman" w:hAnsi="Times New Roman"/>
                <w:b w:val="1"/>
                <w:sz w:val="22"/>
              </w:rPr>
            </w:pPr>
            <w:r>
              <w:rPr>
                <w:rFonts w:ascii="Times New Roman" w:hAnsi="Times New Roman"/>
                <w:b w:val="1"/>
                <w:sz w:val="22"/>
              </w:rPr>
              <w:t>СПб ГБУЗ «ГВВ»</w:t>
            </w:r>
          </w:p>
          <w:p w14:paraId="56000000">
            <w:pPr>
              <w:widowControl w:val="1"/>
              <w:ind/>
              <w:contextualSpacing w:val="1"/>
              <w:rPr>
                <w:rFonts w:ascii="Times New Roman" w:hAnsi="Times New Roman"/>
              </w:rPr>
            </w:pPr>
            <w:r>
              <w:rPr>
                <w:rFonts w:ascii="Times New Roman" w:hAnsi="Times New Roman"/>
              </w:rPr>
              <w:t>193079 г. Санкт-Петербург, Народная ул., 21, корпус 2</w:t>
            </w:r>
          </w:p>
          <w:p w14:paraId="57000000">
            <w:pPr>
              <w:widowControl w:val="1"/>
              <w:ind/>
              <w:contextualSpacing w:val="1"/>
              <w:rPr>
                <w:rFonts w:ascii="Times New Roman" w:hAnsi="Times New Roman"/>
              </w:rPr>
            </w:pPr>
            <w:r>
              <w:rPr>
                <w:rFonts w:ascii="Times New Roman" w:hAnsi="Times New Roman"/>
              </w:rPr>
              <w:t>тел. 446-1790; факс. 446-6420</w:t>
            </w:r>
          </w:p>
          <w:p w14:paraId="58000000">
            <w:pPr>
              <w:widowControl w:val="1"/>
              <w:ind/>
              <w:contextualSpacing w:val="1"/>
              <w:rPr>
                <w:rFonts w:ascii="Times New Roman" w:hAnsi="Times New Roman"/>
              </w:rPr>
            </w:pPr>
            <w:r>
              <w:rPr>
                <w:rFonts w:ascii="Times New Roman" w:hAnsi="Times New Roman"/>
              </w:rPr>
              <w:t>ОКПО  01932007</w:t>
            </w:r>
            <w:r>
              <w:rPr>
                <w:rFonts w:ascii="Times New Roman" w:hAnsi="Times New Roman"/>
              </w:rPr>
              <w:t xml:space="preserve">  ОКОГУ  2300229</w:t>
            </w:r>
          </w:p>
          <w:p w14:paraId="59000000">
            <w:pPr>
              <w:widowControl w:val="1"/>
              <w:ind/>
              <w:contextualSpacing w:val="1"/>
              <w:rPr>
                <w:rFonts w:ascii="Times New Roman" w:hAnsi="Times New Roman"/>
              </w:rPr>
            </w:pPr>
            <w:r>
              <w:rPr>
                <w:rFonts w:ascii="Times New Roman" w:hAnsi="Times New Roman"/>
              </w:rPr>
              <w:t>ОГРН  1027806084701</w:t>
            </w:r>
            <w:r>
              <w:rPr>
                <w:rFonts w:ascii="Times New Roman" w:hAnsi="Times New Roman"/>
              </w:rPr>
              <w:t xml:space="preserve"> ОКТМО 40382000</w:t>
            </w:r>
          </w:p>
          <w:p w14:paraId="5A000000">
            <w:pPr>
              <w:widowControl w:val="1"/>
              <w:ind/>
              <w:contextualSpacing w:val="1"/>
              <w:rPr>
                <w:rFonts w:ascii="Times New Roman" w:hAnsi="Times New Roman"/>
              </w:rPr>
            </w:pPr>
            <w:r>
              <w:rPr>
                <w:rFonts w:ascii="Times New Roman" w:hAnsi="Times New Roman"/>
              </w:rPr>
              <w:t>ИНН 7811070851 КПП 781101001</w:t>
            </w:r>
          </w:p>
          <w:p w14:paraId="5B000000">
            <w:pPr>
              <w:widowControl w:val="1"/>
              <w:ind/>
              <w:contextualSpacing w:val="1"/>
              <w:rPr>
                <w:rFonts w:ascii="Times New Roman" w:hAnsi="Times New Roman"/>
              </w:rPr>
            </w:pPr>
            <w:r>
              <w:rPr>
                <w:rFonts w:ascii="Times New Roman" w:hAnsi="Times New Roman"/>
              </w:rPr>
              <w:t>Комитет финансов Санкт-Петербурга</w:t>
            </w:r>
          </w:p>
          <w:p w14:paraId="5C000000">
            <w:pPr>
              <w:widowControl w:val="1"/>
              <w:ind/>
              <w:contextualSpacing w:val="1"/>
              <w:rPr>
                <w:rFonts w:ascii="Times New Roman" w:hAnsi="Times New Roman"/>
              </w:rPr>
            </w:pPr>
            <w:r>
              <w:rPr>
                <w:rFonts w:ascii="Times New Roman" w:hAnsi="Times New Roman"/>
              </w:rPr>
              <w:t xml:space="preserve"> (СПб ГБУЗ «</w:t>
            </w:r>
            <w:r>
              <w:rPr>
                <w:rFonts w:ascii="Times New Roman" w:hAnsi="Times New Roman"/>
              </w:rPr>
              <w:t>ГВВ»  лицевой</w:t>
            </w:r>
            <w:r>
              <w:rPr>
                <w:rFonts w:ascii="Times New Roman" w:hAnsi="Times New Roman"/>
              </w:rPr>
              <w:t xml:space="preserve"> счет 0151136)</w:t>
            </w:r>
          </w:p>
          <w:p w14:paraId="5D000000">
            <w:pPr>
              <w:widowControl w:val="1"/>
              <w:ind/>
              <w:contextualSpacing w:val="1"/>
              <w:rPr>
                <w:rFonts w:ascii="Times New Roman" w:hAnsi="Times New Roman"/>
              </w:rPr>
            </w:pPr>
            <w:r>
              <w:rPr>
                <w:rFonts w:ascii="Times New Roman" w:hAnsi="Times New Roman"/>
              </w:rPr>
              <w:t>ОКЦ №1 Северо-</w:t>
            </w:r>
            <w:r>
              <w:rPr>
                <w:rFonts w:ascii="Times New Roman" w:hAnsi="Times New Roman"/>
              </w:rPr>
              <w:t>Западное  ГУ</w:t>
            </w:r>
            <w:r>
              <w:rPr>
                <w:rFonts w:ascii="Times New Roman" w:hAnsi="Times New Roman"/>
              </w:rPr>
              <w:t xml:space="preserve"> Банка России//УФК по г. Санкт-Петербургу,</w:t>
            </w:r>
          </w:p>
          <w:p w14:paraId="5E000000">
            <w:pPr>
              <w:widowControl w:val="1"/>
              <w:ind/>
              <w:contextualSpacing w:val="1"/>
              <w:rPr>
                <w:rFonts w:ascii="Times New Roman" w:hAnsi="Times New Roman"/>
              </w:rPr>
            </w:pPr>
            <w:r>
              <w:rPr>
                <w:rFonts w:ascii="Times New Roman" w:hAnsi="Times New Roman"/>
              </w:rPr>
              <w:t>г. Санкт-Петербург</w:t>
            </w:r>
          </w:p>
          <w:p w14:paraId="5F000000">
            <w:pPr>
              <w:widowControl w:val="1"/>
              <w:ind/>
              <w:contextualSpacing w:val="1"/>
              <w:rPr>
                <w:rFonts w:ascii="Times New Roman" w:hAnsi="Times New Roman"/>
              </w:rPr>
            </w:pPr>
            <w:r>
              <w:rPr>
                <w:rFonts w:ascii="Times New Roman" w:hAnsi="Times New Roman"/>
              </w:rPr>
              <w:t>Р/с 03224643400000007200</w:t>
            </w:r>
          </w:p>
          <w:p w14:paraId="60000000">
            <w:pPr>
              <w:widowControl w:val="1"/>
              <w:ind/>
              <w:contextualSpacing w:val="1"/>
              <w:rPr>
                <w:rFonts w:ascii="Times New Roman" w:hAnsi="Times New Roman"/>
              </w:rPr>
            </w:pPr>
            <w:r>
              <w:rPr>
                <w:rFonts w:ascii="Times New Roman" w:hAnsi="Times New Roman"/>
              </w:rPr>
              <w:t>К/с 40102810945370000005</w:t>
            </w:r>
          </w:p>
          <w:p w14:paraId="61000000">
            <w:pPr>
              <w:pStyle w:val="Style_5"/>
              <w:widowControl w:val="1"/>
              <w:ind/>
              <w:contextualSpacing w:val="1"/>
              <w:rPr>
                <w:rFonts w:ascii="Times New Roman" w:hAnsi="Times New Roman"/>
                <w:sz w:val="22"/>
              </w:rPr>
            </w:pPr>
            <w:r>
              <w:rPr>
                <w:rFonts w:ascii="Times New Roman" w:hAnsi="Times New Roman"/>
              </w:rPr>
              <w:t>БИК  014030106</w:t>
            </w:r>
          </w:p>
          <w:p w14:paraId="62000000">
            <w:pPr>
              <w:pStyle w:val="Style_5"/>
              <w:widowControl w:val="1"/>
              <w:ind/>
              <w:contextualSpacing w:val="1"/>
              <w:rPr>
                <w:rFonts w:ascii="Times New Roman" w:hAnsi="Times New Roman"/>
                <w:sz w:val="22"/>
              </w:rPr>
            </w:pPr>
            <w:r>
              <w:rPr>
                <w:rFonts w:ascii="Times New Roman" w:hAnsi="Times New Roman"/>
                <w:sz w:val="22"/>
              </w:rPr>
              <w:t>Начальник госпиталя</w:t>
            </w:r>
          </w:p>
          <w:p w14:paraId="63000000">
            <w:pPr>
              <w:pStyle w:val="Style_5"/>
              <w:widowControl w:val="1"/>
              <w:ind/>
              <w:contextualSpacing w:val="1"/>
              <w:rPr>
                <w:rFonts w:ascii="Times New Roman" w:hAnsi="Times New Roman"/>
                <w:sz w:val="22"/>
              </w:rPr>
            </w:pPr>
            <w:r>
              <w:rPr>
                <w:rFonts w:ascii="Times New Roman" w:hAnsi="Times New Roman"/>
                <w:sz w:val="22"/>
              </w:rPr>
              <w:t>_________________ /М.Ю. Кабанов/</w:t>
            </w:r>
          </w:p>
        </w:tc>
        <w:tc>
          <w:tcPr>
            <w:tcW w:type="dxa" w:w="5065"/>
          </w:tcPr>
          <w:p w14:paraId="64000000">
            <w:pPr>
              <w:widowControl w:val="1"/>
              <w:ind/>
              <w:contextualSpacing w:val="1"/>
              <w:rPr>
                <w:rFonts w:ascii="Times New Roman" w:hAnsi="Times New Roman"/>
                <w:b w:val="1"/>
                <w:u w:val="single"/>
              </w:rPr>
            </w:pPr>
            <w:r>
              <w:rPr>
                <w:rFonts w:ascii="Times New Roman" w:hAnsi="Times New Roman"/>
                <w:b w:val="1"/>
                <w:u w:val="single"/>
              </w:rPr>
              <w:t>ПОДРЯДЧИК</w:t>
            </w:r>
          </w:p>
          <w:p w14:paraId="65000000">
            <w:pPr>
              <w:widowControl w:val="1"/>
              <w:ind/>
              <w:contextualSpacing w:val="1"/>
              <w:rPr>
                <w:rFonts w:ascii="Times New Roman" w:hAnsi="Times New Roman"/>
              </w:rPr>
            </w:pPr>
          </w:p>
          <w:p w14:paraId="66000000">
            <w:pPr>
              <w:widowControl w:val="1"/>
              <w:ind/>
              <w:contextualSpacing w:val="1"/>
              <w:rPr>
                <w:rFonts w:ascii="Times New Roman" w:hAnsi="Times New Roman"/>
              </w:rPr>
            </w:pPr>
          </w:p>
          <w:p w14:paraId="67000000">
            <w:pPr>
              <w:widowControl w:val="1"/>
              <w:ind/>
              <w:contextualSpacing w:val="1"/>
              <w:rPr>
                <w:rFonts w:ascii="Times New Roman" w:hAnsi="Times New Roman"/>
              </w:rPr>
            </w:pPr>
          </w:p>
          <w:p w14:paraId="68000000">
            <w:pPr>
              <w:widowControl w:val="1"/>
              <w:ind/>
              <w:contextualSpacing w:val="1"/>
              <w:rPr>
                <w:rFonts w:ascii="Times New Roman" w:hAnsi="Times New Roman"/>
              </w:rPr>
            </w:pPr>
          </w:p>
          <w:p w14:paraId="69000000">
            <w:pPr>
              <w:widowControl w:val="1"/>
              <w:ind/>
              <w:contextualSpacing w:val="1"/>
              <w:rPr>
                <w:rFonts w:ascii="Times New Roman" w:hAnsi="Times New Roman"/>
              </w:rPr>
            </w:pPr>
          </w:p>
          <w:p w14:paraId="6A000000">
            <w:pPr>
              <w:widowControl w:val="1"/>
              <w:ind/>
              <w:contextualSpacing w:val="1"/>
              <w:rPr>
                <w:rFonts w:ascii="Times New Roman" w:hAnsi="Times New Roman"/>
              </w:rPr>
            </w:pPr>
          </w:p>
          <w:p w14:paraId="6B000000">
            <w:pPr>
              <w:widowControl w:val="1"/>
              <w:ind/>
              <w:contextualSpacing w:val="1"/>
              <w:rPr>
                <w:rFonts w:ascii="Times New Roman" w:hAnsi="Times New Roman"/>
              </w:rPr>
            </w:pPr>
          </w:p>
          <w:p w14:paraId="6C000000">
            <w:pPr>
              <w:widowControl w:val="1"/>
              <w:ind/>
              <w:contextualSpacing w:val="1"/>
              <w:rPr>
                <w:rFonts w:ascii="Times New Roman" w:hAnsi="Times New Roman"/>
              </w:rPr>
            </w:pPr>
          </w:p>
          <w:p w14:paraId="6D000000">
            <w:pPr>
              <w:widowControl w:val="1"/>
              <w:ind/>
              <w:contextualSpacing w:val="1"/>
              <w:rPr>
                <w:rFonts w:ascii="Times New Roman" w:hAnsi="Times New Roman"/>
              </w:rPr>
            </w:pPr>
          </w:p>
          <w:p w14:paraId="6E000000">
            <w:pPr>
              <w:widowControl w:val="1"/>
              <w:ind/>
              <w:contextualSpacing w:val="1"/>
              <w:rPr>
                <w:rFonts w:ascii="Times New Roman" w:hAnsi="Times New Roman"/>
              </w:rPr>
            </w:pPr>
          </w:p>
          <w:p w14:paraId="6F000000">
            <w:pPr>
              <w:widowControl w:val="1"/>
              <w:ind/>
              <w:contextualSpacing w:val="1"/>
              <w:rPr>
                <w:rFonts w:ascii="Times New Roman" w:hAnsi="Times New Roman"/>
              </w:rPr>
            </w:pPr>
          </w:p>
          <w:p w14:paraId="70000000">
            <w:pPr>
              <w:widowControl w:val="1"/>
              <w:ind/>
              <w:contextualSpacing w:val="1"/>
              <w:rPr>
                <w:rFonts w:ascii="Times New Roman" w:hAnsi="Times New Roman"/>
              </w:rPr>
            </w:pPr>
          </w:p>
          <w:p w14:paraId="71000000">
            <w:pPr>
              <w:widowControl w:val="1"/>
              <w:ind/>
              <w:contextualSpacing w:val="1"/>
              <w:rPr>
                <w:rFonts w:ascii="Times New Roman" w:hAnsi="Times New Roman"/>
              </w:rPr>
            </w:pPr>
          </w:p>
          <w:p w14:paraId="72000000">
            <w:pPr>
              <w:widowControl w:val="1"/>
              <w:ind/>
              <w:contextualSpacing w:val="1"/>
              <w:rPr>
                <w:rFonts w:ascii="Times New Roman" w:hAnsi="Times New Roman"/>
              </w:rPr>
            </w:pPr>
          </w:p>
          <w:p w14:paraId="73000000">
            <w:pPr>
              <w:widowControl w:val="1"/>
              <w:ind/>
              <w:contextualSpacing w:val="1"/>
              <w:rPr>
                <w:rFonts w:ascii="Times New Roman" w:hAnsi="Times New Roman"/>
              </w:rPr>
            </w:pPr>
          </w:p>
          <w:p w14:paraId="74000000">
            <w:pPr>
              <w:widowControl w:val="1"/>
              <w:ind/>
              <w:contextualSpacing w:val="1"/>
              <w:rPr>
                <w:rFonts w:ascii="Times New Roman" w:hAnsi="Times New Roman"/>
              </w:rPr>
            </w:pPr>
            <w:r>
              <w:rPr>
                <w:rFonts w:ascii="Times New Roman" w:hAnsi="Times New Roman"/>
              </w:rPr>
              <w:t>_________________ / ________________</w:t>
            </w:r>
          </w:p>
          <w:p w14:paraId="75000000">
            <w:pPr>
              <w:widowControl w:val="1"/>
              <w:ind/>
              <w:contextualSpacing w:val="1"/>
              <w:rPr>
                <w:rFonts w:ascii="Times New Roman" w:hAnsi="Times New Roman"/>
              </w:rPr>
            </w:pPr>
          </w:p>
          <w:p w14:paraId="76000000">
            <w:pPr>
              <w:widowControl w:val="1"/>
              <w:ind/>
              <w:contextualSpacing w:val="1"/>
              <w:rPr>
                <w:rFonts w:ascii="Times New Roman" w:hAnsi="Times New Roman"/>
              </w:rPr>
            </w:pPr>
          </w:p>
          <w:p w14:paraId="77000000">
            <w:pPr>
              <w:widowControl w:val="1"/>
              <w:ind/>
              <w:contextualSpacing w:val="1"/>
              <w:rPr>
                <w:rFonts w:ascii="Times New Roman" w:hAnsi="Times New Roman"/>
              </w:rPr>
            </w:pPr>
          </w:p>
          <w:p w14:paraId="78000000">
            <w:pPr>
              <w:widowControl w:val="1"/>
              <w:ind/>
              <w:contextualSpacing w:val="1"/>
              <w:rPr>
                <w:rFonts w:ascii="Times New Roman" w:hAnsi="Times New Roman"/>
              </w:rPr>
            </w:pPr>
          </w:p>
          <w:p w14:paraId="79000000">
            <w:pPr>
              <w:widowControl w:val="1"/>
              <w:ind/>
              <w:contextualSpacing w:val="1"/>
              <w:rPr>
                <w:rFonts w:ascii="Times New Roman" w:hAnsi="Times New Roman"/>
              </w:rPr>
            </w:pPr>
          </w:p>
          <w:p w14:paraId="7A000000">
            <w:pPr>
              <w:widowControl w:val="1"/>
              <w:ind/>
              <w:contextualSpacing w:val="1"/>
              <w:rPr>
                <w:rFonts w:ascii="Times New Roman" w:hAnsi="Times New Roman"/>
              </w:rPr>
            </w:pPr>
          </w:p>
          <w:p w14:paraId="7B000000">
            <w:pPr>
              <w:widowControl w:val="1"/>
              <w:ind/>
              <w:contextualSpacing w:val="1"/>
              <w:rPr>
                <w:rFonts w:ascii="Times New Roman" w:hAnsi="Times New Roman"/>
              </w:rPr>
            </w:pPr>
          </w:p>
          <w:p w14:paraId="7C000000">
            <w:pPr>
              <w:widowControl w:val="1"/>
              <w:ind/>
              <w:contextualSpacing w:val="1"/>
              <w:rPr>
                <w:rFonts w:ascii="Times New Roman" w:hAnsi="Times New Roman"/>
              </w:rPr>
            </w:pPr>
          </w:p>
          <w:p w14:paraId="7D000000">
            <w:pPr>
              <w:widowControl w:val="1"/>
              <w:ind/>
              <w:contextualSpacing w:val="1"/>
              <w:rPr>
                <w:rFonts w:ascii="Times New Roman" w:hAnsi="Times New Roman"/>
              </w:rPr>
            </w:pPr>
          </w:p>
          <w:p w14:paraId="7E000000">
            <w:pPr>
              <w:widowControl w:val="1"/>
              <w:ind/>
              <w:contextualSpacing w:val="1"/>
              <w:rPr>
                <w:rFonts w:ascii="Times New Roman" w:hAnsi="Times New Roman"/>
              </w:rPr>
            </w:pPr>
          </w:p>
          <w:p w14:paraId="7F000000">
            <w:pPr>
              <w:widowControl w:val="1"/>
              <w:ind/>
              <w:contextualSpacing w:val="1"/>
              <w:rPr>
                <w:rFonts w:ascii="Times New Roman" w:hAnsi="Times New Roman"/>
              </w:rPr>
            </w:pPr>
          </w:p>
          <w:p w14:paraId="80000000">
            <w:pPr>
              <w:widowControl w:val="1"/>
              <w:ind/>
              <w:contextualSpacing w:val="1"/>
              <w:rPr>
                <w:rFonts w:ascii="Times New Roman" w:hAnsi="Times New Roman"/>
              </w:rPr>
            </w:pPr>
          </w:p>
          <w:p w14:paraId="81000000">
            <w:pPr>
              <w:widowControl w:val="1"/>
              <w:ind/>
              <w:contextualSpacing w:val="1"/>
              <w:rPr>
                <w:rFonts w:ascii="Times New Roman" w:hAnsi="Times New Roman"/>
              </w:rPr>
            </w:pPr>
          </w:p>
          <w:p w14:paraId="82000000">
            <w:pPr>
              <w:widowControl w:val="1"/>
              <w:ind/>
              <w:contextualSpacing w:val="1"/>
              <w:rPr>
                <w:rFonts w:ascii="Times New Roman" w:hAnsi="Times New Roman"/>
              </w:rPr>
            </w:pPr>
          </w:p>
          <w:p w14:paraId="83000000">
            <w:pPr>
              <w:widowControl w:val="1"/>
              <w:ind/>
              <w:contextualSpacing w:val="1"/>
              <w:rPr>
                <w:rFonts w:ascii="Times New Roman" w:hAnsi="Times New Roman"/>
              </w:rPr>
            </w:pPr>
          </w:p>
          <w:p w14:paraId="84000000">
            <w:pPr>
              <w:widowControl w:val="1"/>
              <w:ind/>
              <w:contextualSpacing w:val="1"/>
              <w:rPr>
                <w:rFonts w:ascii="Times New Roman" w:hAnsi="Times New Roman"/>
              </w:rPr>
            </w:pPr>
          </w:p>
          <w:p w14:paraId="85000000">
            <w:pPr>
              <w:widowControl w:val="1"/>
              <w:ind/>
              <w:contextualSpacing w:val="1"/>
              <w:rPr>
                <w:rFonts w:ascii="Times New Roman" w:hAnsi="Times New Roman"/>
              </w:rPr>
            </w:pPr>
          </w:p>
        </w:tc>
      </w:tr>
    </w:tbl>
    <w:p w14:paraId="86000000">
      <w:pPr>
        <w:rPr>
          <w:rFonts w:ascii="Times New Roman" w:hAnsi="Times New Roman"/>
        </w:rPr>
      </w:pPr>
    </w:p>
    <w:sectPr>
      <w:pgSz w:h="16838" w:orient="portrait" w:w="11906"/>
      <w:pgMar w:bottom="720" w:footer="0" w:gutter="0" w:header="0" w:left="720" w:right="720" w:top="720"/>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tabs>
          <w:tab w:leader="none" w:pos="0" w:val="left"/>
        </w:tabs>
        <w:ind w:hanging="360" w:left="720"/>
      </w:pPr>
    </w:lvl>
    <w:lvl w:ilvl="1">
      <w:start w:val="1"/>
      <w:numFmt w:val="lowerLetter"/>
      <w:lvlText w:val="%2."/>
      <w:lvlJc w:val="left"/>
      <w:pPr>
        <w:widowControl w:val="1"/>
        <w:tabs>
          <w:tab w:leader="none" w:pos="0" w:val="left"/>
        </w:tabs>
        <w:ind w:hanging="360" w:left="1440"/>
      </w:pPr>
    </w:lvl>
    <w:lvl w:ilvl="2">
      <w:start w:val="1"/>
      <w:numFmt w:val="lowerRoman"/>
      <w:lvlText w:val="%3."/>
      <w:lvlJc w:val="right"/>
      <w:pPr>
        <w:widowControl w:val="1"/>
        <w:tabs>
          <w:tab w:leader="none" w:pos="0" w:val="left"/>
        </w:tabs>
        <w:ind w:hanging="180" w:left="2160"/>
      </w:pPr>
    </w:lvl>
    <w:lvl w:ilvl="3">
      <w:start w:val="1"/>
      <w:numFmt w:val="decimal"/>
      <w:lvlText w:val="%4."/>
      <w:lvlJc w:val="left"/>
      <w:pPr>
        <w:widowControl w:val="1"/>
        <w:tabs>
          <w:tab w:leader="none" w:pos="0" w:val="left"/>
        </w:tabs>
        <w:ind w:hanging="360" w:left="2880"/>
      </w:pPr>
    </w:lvl>
    <w:lvl w:ilvl="4">
      <w:start w:val="1"/>
      <w:numFmt w:val="lowerLetter"/>
      <w:lvlText w:val="%5."/>
      <w:lvlJc w:val="left"/>
      <w:pPr>
        <w:widowControl w:val="1"/>
        <w:tabs>
          <w:tab w:leader="none" w:pos="0" w:val="left"/>
        </w:tabs>
        <w:ind w:hanging="360" w:left="3600"/>
      </w:pPr>
    </w:lvl>
    <w:lvl w:ilvl="5">
      <w:start w:val="1"/>
      <w:numFmt w:val="lowerRoman"/>
      <w:lvlText w:val="%6."/>
      <w:lvlJc w:val="right"/>
      <w:pPr>
        <w:widowControl w:val="1"/>
        <w:tabs>
          <w:tab w:leader="none" w:pos="0" w:val="left"/>
        </w:tabs>
        <w:ind w:hanging="180" w:left="4320"/>
      </w:pPr>
    </w:lvl>
    <w:lvl w:ilvl="6">
      <w:start w:val="1"/>
      <w:numFmt w:val="decimal"/>
      <w:lvlText w:val="%7."/>
      <w:lvlJc w:val="left"/>
      <w:pPr>
        <w:widowControl w:val="1"/>
        <w:tabs>
          <w:tab w:leader="none" w:pos="0" w:val="left"/>
        </w:tabs>
        <w:ind w:hanging="360" w:left="5040"/>
      </w:pPr>
    </w:lvl>
    <w:lvl w:ilvl="7">
      <w:start w:val="1"/>
      <w:numFmt w:val="lowerLetter"/>
      <w:lvlText w:val="%8."/>
      <w:lvlJc w:val="left"/>
      <w:pPr>
        <w:widowControl w:val="1"/>
        <w:tabs>
          <w:tab w:leader="none" w:pos="0" w:val="left"/>
        </w:tabs>
        <w:ind w:hanging="360" w:left="5760"/>
      </w:pPr>
    </w:lvl>
    <w:lvl w:ilvl="8">
      <w:start w:val="1"/>
      <w:numFmt w:val="lowerRoman"/>
      <w:lvlText w:val="%9."/>
      <w:lvlJc w:val="right"/>
      <w:pPr>
        <w:widowControl w:val="1"/>
        <w:tabs>
          <w:tab w:leader="none" w:pos="0" w:val="left"/>
        </w:tabs>
        <w:ind w:hanging="180" w:left="6480"/>
      </w:pPr>
    </w:lvl>
  </w:abstractNum>
  <w:abstractNum w:abstractNumId="1">
    <w:lvl w:ilvl="0">
      <w:start w:val="5"/>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1571"/>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2">
    <w:lvl w:ilvl="0">
      <w:start w:val="6"/>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3">
    <w:lvl w:ilvl="0">
      <w:start w:val="8"/>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4">
    <w:lvl w:ilvl="0">
      <w:start w:val="9"/>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5">
    <w:lvl w:ilvl="0">
      <w:start w:val="10"/>
      <w:numFmt w:val="decimal"/>
      <w:lvlText w:val="%1."/>
      <w:lvlJc w:val="left"/>
      <w:pPr>
        <w:widowControl w:val="1"/>
        <w:tabs>
          <w:tab w:leader="none" w:pos="0" w:val="left"/>
        </w:tabs>
        <w:ind w:hanging="525" w:left="525"/>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num w:numId="1">
    <w:abstractNumId w:val="0"/>
    <w:lvlOverride w:ilvl="0">
      <w:startOverride w:val="1"/>
    </w:lvlOverride>
  </w:num>
  <w:num w:numId="2">
    <w:abstractNumId w:val="0"/>
  </w:num>
  <w:num w:numId="3">
    <w:abstractNumId w:val="1"/>
  </w:num>
  <w:num w:numId="4">
    <w:abstractNumId w:val="2"/>
  </w:num>
  <w:num w:numId="5">
    <w:abstractNumId w:val="3"/>
  </w:num>
  <w:num w:numId="6">
    <w:abstractNumId w:val="4"/>
  </w:num>
  <w:num w:numId="7">
    <w:abstractNumId w:val="5"/>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pPr>
      <w:widowControl w:val="1"/>
      <w:spacing w:after="160" w:line="259" w:lineRule="auto"/>
      <w:ind/>
    </w:pPr>
  </w:style>
  <w:style w:default="1" w:styleId="Style_6_ch" w:type="character">
    <w:name w:val="Normal"/>
    <w:link w:val="Style_6"/>
  </w:style>
  <w:style w:styleId="Style_7" w:type="paragraph">
    <w:name w:val="toc 2"/>
    <w:next w:val="Style_6"/>
    <w:link w:val="Style_7_ch"/>
    <w:uiPriority w:val="39"/>
    <w:pPr>
      <w:ind w:firstLine="0" w:left="200"/>
      <w:jc w:val="left"/>
    </w:pPr>
    <w:rPr>
      <w:rFonts w:ascii="XO Thames" w:hAnsi="XO Thames"/>
      <w:sz w:val="28"/>
    </w:rPr>
  </w:style>
  <w:style w:styleId="Style_7_ch" w:type="character">
    <w:name w:val="toc 2"/>
    <w:link w:val="Style_7"/>
    <w:rPr>
      <w:rFonts w:ascii="XO Thames" w:hAnsi="XO Thames"/>
      <w:sz w:val="28"/>
    </w:rPr>
  </w:style>
  <w:style w:styleId="Style_8" w:type="paragraph">
    <w:name w:val="toc 4"/>
    <w:next w:val="Style_6"/>
    <w:link w:val="Style_8_ch"/>
    <w:uiPriority w:val="39"/>
    <w:pPr>
      <w:ind w:firstLine="0" w:left="600"/>
      <w:jc w:val="left"/>
    </w:pPr>
    <w:rPr>
      <w:rFonts w:ascii="XO Thames" w:hAnsi="XO Thames"/>
      <w:sz w:val="28"/>
    </w:rPr>
  </w:style>
  <w:style w:styleId="Style_8_ch" w:type="character">
    <w:name w:val="toc 4"/>
    <w:link w:val="Style_8"/>
    <w:rPr>
      <w:rFonts w:ascii="XO Thames" w:hAnsi="XO Thames"/>
      <w:sz w:val="28"/>
    </w:rPr>
  </w:style>
  <w:style w:styleId="Style_9" w:type="paragraph">
    <w:name w:val="toc 6"/>
    <w:next w:val="Style_6"/>
    <w:link w:val="Style_9_ch"/>
    <w:uiPriority w:val="39"/>
    <w:pPr>
      <w:ind w:firstLine="0" w:left="1000"/>
      <w:jc w:val="left"/>
    </w:pPr>
    <w:rPr>
      <w:rFonts w:ascii="XO Thames" w:hAnsi="XO Thames"/>
      <w:sz w:val="28"/>
    </w:rPr>
  </w:style>
  <w:style w:styleId="Style_9_ch" w:type="character">
    <w:name w:val="toc 6"/>
    <w:link w:val="Style_9"/>
    <w:rPr>
      <w:rFonts w:ascii="XO Thames" w:hAnsi="XO Thames"/>
      <w:sz w:val="28"/>
    </w:rPr>
  </w:style>
  <w:style w:styleId="Style_10" w:type="paragraph">
    <w:name w:val="toc 7"/>
    <w:next w:val="Style_6"/>
    <w:link w:val="Style_10_ch"/>
    <w:uiPriority w:val="39"/>
    <w:pPr>
      <w:ind w:firstLine="0" w:left="1200"/>
      <w:jc w:val="left"/>
    </w:pPr>
    <w:rPr>
      <w:rFonts w:ascii="XO Thames" w:hAnsi="XO Thames"/>
      <w:sz w:val="28"/>
    </w:rPr>
  </w:style>
  <w:style w:styleId="Style_10_ch" w:type="character">
    <w:name w:val="toc 7"/>
    <w:link w:val="Style_10"/>
    <w:rPr>
      <w:rFonts w:ascii="XO Thames" w:hAnsi="XO Thames"/>
      <w:sz w:val="28"/>
    </w:rPr>
  </w:style>
  <w:style w:styleId="Style_11" w:type="paragraph">
    <w:name w:val="List"/>
    <w:basedOn w:val="Style_12"/>
    <w:link w:val="Style_11_ch"/>
    <w:rPr>
      <w:rFonts w:ascii="PT Astra Serif" w:hAnsi="PT Astra Serif"/>
    </w:rPr>
  </w:style>
  <w:style w:styleId="Style_11_ch" w:type="character">
    <w:name w:val="List"/>
    <w:basedOn w:val="Style_12_ch"/>
    <w:link w:val="Style_11"/>
    <w:rPr>
      <w:rFonts w:ascii="PT Astra Serif" w:hAnsi="PT Astra Serif"/>
    </w:rPr>
  </w:style>
  <w:style w:styleId="Style_12" w:type="paragraph">
    <w:name w:val="Body Text"/>
    <w:basedOn w:val="Style_6"/>
    <w:link w:val="Style_12_ch"/>
    <w:pPr>
      <w:widowControl w:val="1"/>
      <w:spacing w:after="140" w:line="276" w:lineRule="auto"/>
      <w:ind/>
    </w:pPr>
  </w:style>
  <w:style w:styleId="Style_12_ch" w:type="character">
    <w:name w:val="Body Text"/>
    <w:basedOn w:val="Style_6_ch"/>
    <w:link w:val="Style_12"/>
  </w:style>
  <w:style w:styleId="Style_13" w:type="paragraph">
    <w:name w:val="Endnote"/>
    <w:link w:val="Style_13_ch"/>
    <w:pPr>
      <w:ind w:firstLine="851" w:left="0"/>
      <w:jc w:val="both"/>
    </w:pPr>
    <w:rPr>
      <w:rFonts w:ascii="XO Thames" w:hAnsi="XO Thames"/>
      <w:sz w:val="22"/>
    </w:rPr>
  </w:style>
  <w:style w:styleId="Style_13_ch" w:type="character">
    <w:name w:val="Endnote"/>
    <w:link w:val="Style_13"/>
    <w:rPr>
      <w:rFonts w:ascii="XO Thames" w:hAnsi="XO Thames"/>
      <w:sz w:val="22"/>
    </w:rPr>
  </w:style>
  <w:style w:styleId="Style_14" w:type="paragraph">
    <w:name w:val="heading 3"/>
    <w:next w:val="Style_6"/>
    <w:link w:val="Style_14_ch"/>
    <w:uiPriority w:val="9"/>
    <w:qFormat/>
    <w:pPr>
      <w:spacing w:after="120" w:before="120"/>
      <w:ind/>
      <w:jc w:val="both"/>
      <w:outlineLvl w:val="2"/>
    </w:pPr>
    <w:rPr>
      <w:rFonts w:ascii="XO Thames" w:hAnsi="XO Thames"/>
      <w:b w:val="1"/>
      <w:sz w:val="26"/>
    </w:rPr>
  </w:style>
  <w:style w:styleId="Style_14_ch" w:type="character">
    <w:name w:val="heading 3"/>
    <w:link w:val="Style_14"/>
    <w:rPr>
      <w:rFonts w:ascii="XO Thames" w:hAnsi="XO Thames"/>
      <w:b w:val="1"/>
      <w:sz w:val="26"/>
    </w:rPr>
  </w:style>
  <w:style w:styleId="Style_15" w:type="paragraph">
    <w:name w:val="Default Paragraph Font"/>
    <w:link w:val="Style_15_ch"/>
  </w:style>
  <w:style w:styleId="Style_15_ch" w:type="character">
    <w:name w:val="Default Paragraph Font"/>
    <w:link w:val="Style_15"/>
  </w:style>
  <w:style w:styleId="Style_16" w:type="paragraph">
    <w:name w:val="toc 3"/>
    <w:next w:val="Style_6"/>
    <w:link w:val="Style_16_ch"/>
    <w:uiPriority w:val="39"/>
    <w:pPr>
      <w:ind w:firstLine="0" w:left="400"/>
      <w:jc w:val="left"/>
    </w:pPr>
    <w:rPr>
      <w:rFonts w:ascii="XO Thames" w:hAnsi="XO Thames"/>
      <w:sz w:val="28"/>
    </w:rPr>
  </w:style>
  <w:style w:styleId="Style_16_ch" w:type="character">
    <w:name w:val="toc 3"/>
    <w:link w:val="Style_16"/>
    <w:rPr>
      <w:rFonts w:ascii="XO Thames" w:hAnsi="XO Thames"/>
      <w:sz w:val="28"/>
    </w:rPr>
  </w:style>
  <w:style w:styleId="Style_17" w:type="paragraph">
    <w:name w:val="heading 5"/>
    <w:next w:val="Style_6"/>
    <w:link w:val="Style_17_ch"/>
    <w:uiPriority w:val="9"/>
    <w:qFormat/>
    <w:pPr>
      <w:spacing w:after="120" w:before="120"/>
      <w:ind/>
      <w:jc w:val="both"/>
      <w:outlineLvl w:val="4"/>
    </w:pPr>
    <w:rPr>
      <w:rFonts w:ascii="XO Thames" w:hAnsi="XO Thames"/>
      <w:b w:val="1"/>
      <w:sz w:val="22"/>
    </w:rPr>
  </w:style>
  <w:style w:styleId="Style_17_ch" w:type="character">
    <w:name w:val="heading 5"/>
    <w:link w:val="Style_17"/>
    <w:rPr>
      <w:rFonts w:ascii="XO Thames" w:hAnsi="XO Thames"/>
      <w:b w:val="1"/>
      <w:sz w:val="22"/>
    </w:rPr>
  </w:style>
  <w:style w:styleId="Style_2" w:type="paragraph">
    <w:name w:val="List Paragraph"/>
    <w:basedOn w:val="Style_6"/>
    <w:link w:val="Style_2_ch"/>
    <w:pPr>
      <w:widowControl w:val="1"/>
      <w:spacing w:after="0" w:line="240" w:lineRule="auto"/>
      <w:ind w:left="708"/>
    </w:pPr>
    <w:rPr>
      <w:rFonts w:ascii="Times New Roman" w:hAnsi="Times New Roman"/>
      <w:sz w:val="24"/>
    </w:rPr>
  </w:style>
  <w:style w:styleId="Style_2_ch" w:type="character">
    <w:name w:val="List Paragraph"/>
    <w:basedOn w:val="Style_6_ch"/>
    <w:link w:val="Style_2"/>
    <w:rPr>
      <w:rFonts w:ascii="Times New Roman" w:hAnsi="Times New Roman"/>
      <w:sz w:val="24"/>
    </w:rPr>
  </w:style>
  <w:style w:styleId="Style_18" w:type="paragraph">
    <w:name w:val="heading 1"/>
    <w:next w:val="Style_6"/>
    <w:link w:val="Style_18_ch"/>
    <w:uiPriority w:val="9"/>
    <w:qFormat/>
    <w:pPr>
      <w:spacing w:after="120" w:before="120"/>
      <w:ind/>
      <w:jc w:val="both"/>
      <w:outlineLvl w:val="0"/>
    </w:pPr>
    <w:rPr>
      <w:rFonts w:ascii="XO Thames" w:hAnsi="XO Thames"/>
      <w:b w:val="1"/>
      <w:sz w:val="32"/>
    </w:rPr>
  </w:style>
  <w:style w:styleId="Style_18_ch" w:type="character">
    <w:name w:val="heading 1"/>
    <w:link w:val="Style_18"/>
    <w:rPr>
      <w:rFonts w:ascii="XO Thames" w:hAnsi="XO Thames"/>
      <w:b w:val="1"/>
      <w:sz w:val="32"/>
    </w:rPr>
  </w:style>
  <w:style w:styleId="Style_19" w:type="paragraph">
    <w:name w:val="Hyperlink"/>
    <w:link w:val="Style_19_ch"/>
    <w:rPr>
      <w:color w:val="0000FF"/>
      <w:u w:val="single"/>
    </w:rPr>
  </w:style>
  <w:style w:styleId="Style_19_ch" w:type="character">
    <w:name w:val="Hyperlink"/>
    <w:link w:val="Style_19"/>
    <w:rPr>
      <w:color w:val="0000FF"/>
      <w:u w:val="single"/>
    </w:rPr>
  </w:style>
  <w:style w:styleId="Style_20" w:type="paragraph">
    <w:name w:val="Footnote"/>
    <w:link w:val="Style_20_ch"/>
    <w:pPr>
      <w:ind w:firstLine="851" w:left="0"/>
      <w:jc w:val="both"/>
    </w:pPr>
    <w:rPr>
      <w:rFonts w:ascii="XO Thames" w:hAnsi="XO Thames"/>
      <w:sz w:val="22"/>
    </w:rPr>
  </w:style>
  <w:style w:styleId="Style_20_ch" w:type="character">
    <w:name w:val="Footnote"/>
    <w:link w:val="Style_20"/>
    <w:rPr>
      <w:rFonts w:ascii="XO Thames" w:hAnsi="XO Thames"/>
      <w:sz w:val="22"/>
    </w:rPr>
  </w:style>
  <w:style w:styleId="Style_21" w:type="paragraph">
    <w:name w:val="toc 1"/>
    <w:next w:val="Style_6"/>
    <w:link w:val="Style_21_ch"/>
    <w:uiPriority w:val="39"/>
    <w:pPr>
      <w:ind w:firstLine="0" w:left="0"/>
      <w:jc w:val="left"/>
    </w:pPr>
    <w:rPr>
      <w:rFonts w:ascii="XO Thames" w:hAnsi="XO Thames"/>
      <w:b w:val="1"/>
      <w:sz w:val="28"/>
    </w:rPr>
  </w:style>
  <w:style w:styleId="Style_21_ch" w:type="character">
    <w:name w:val="toc 1"/>
    <w:link w:val="Style_21"/>
    <w:rPr>
      <w:rFonts w:ascii="XO Thames" w:hAnsi="XO Thames"/>
      <w:b w:val="1"/>
      <w:sz w:val="28"/>
    </w:rPr>
  </w:style>
  <w:style w:styleId="Style_22" w:type="paragraph">
    <w:name w:val="Header and Footer"/>
    <w:link w:val="Style_22_ch"/>
    <w:pPr>
      <w:spacing w:line="240" w:lineRule="auto"/>
      <w:ind/>
      <w:jc w:val="both"/>
    </w:pPr>
    <w:rPr>
      <w:rFonts w:ascii="XO Thames" w:hAnsi="XO Thames"/>
      <w:sz w:val="28"/>
    </w:rPr>
  </w:style>
  <w:style w:styleId="Style_22_ch" w:type="character">
    <w:name w:val="Header and Footer"/>
    <w:link w:val="Style_22"/>
    <w:rPr>
      <w:rFonts w:ascii="XO Thames" w:hAnsi="XO Thames"/>
      <w:sz w:val="28"/>
    </w:rPr>
  </w:style>
  <w:style w:styleId="Style_23" w:type="paragraph">
    <w:name w:val="toc 9"/>
    <w:next w:val="Style_6"/>
    <w:link w:val="Style_23_ch"/>
    <w:uiPriority w:val="39"/>
    <w:pPr>
      <w:ind w:firstLine="0" w:left="1600"/>
      <w:jc w:val="left"/>
    </w:pPr>
    <w:rPr>
      <w:rFonts w:ascii="XO Thames" w:hAnsi="XO Thames"/>
      <w:sz w:val="28"/>
    </w:rPr>
  </w:style>
  <w:style w:styleId="Style_23_ch" w:type="character">
    <w:name w:val="toc 9"/>
    <w:link w:val="Style_23"/>
    <w:rPr>
      <w:rFonts w:ascii="XO Thames" w:hAnsi="XO Thames"/>
      <w:sz w:val="28"/>
    </w:rPr>
  </w:style>
  <w:style w:styleId="Style_24" w:type="paragraph">
    <w:name w:val="toc 8"/>
    <w:next w:val="Style_6"/>
    <w:link w:val="Style_24_ch"/>
    <w:uiPriority w:val="39"/>
    <w:pPr>
      <w:ind w:firstLine="0" w:left="1400"/>
      <w:jc w:val="left"/>
    </w:pPr>
    <w:rPr>
      <w:rFonts w:ascii="XO Thames" w:hAnsi="XO Thames"/>
      <w:sz w:val="28"/>
    </w:rPr>
  </w:style>
  <w:style w:styleId="Style_24_ch" w:type="character">
    <w:name w:val="toc 8"/>
    <w:link w:val="Style_24"/>
    <w:rPr>
      <w:rFonts w:ascii="XO Thames" w:hAnsi="XO Thames"/>
      <w:sz w:val="28"/>
    </w:rPr>
  </w:style>
  <w:style w:styleId="Style_25" w:type="paragraph">
    <w:name w:val="Заголовок"/>
    <w:basedOn w:val="Style_6"/>
    <w:next w:val="Style_12"/>
    <w:link w:val="Style_25_ch"/>
    <w:pPr>
      <w:keepNext w:val="1"/>
      <w:widowControl w:val="1"/>
      <w:spacing w:after="120" w:before="240"/>
      <w:ind/>
    </w:pPr>
    <w:rPr>
      <w:rFonts w:ascii="PT Astra Serif" w:hAnsi="PT Astra Serif"/>
      <w:sz w:val="28"/>
    </w:rPr>
  </w:style>
  <w:style w:styleId="Style_25_ch" w:type="character">
    <w:name w:val="Заголовок"/>
    <w:basedOn w:val="Style_6_ch"/>
    <w:link w:val="Style_25"/>
    <w:rPr>
      <w:rFonts w:ascii="PT Astra Serif" w:hAnsi="PT Astra Serif"/>
      <w:sz w:val="28"/>
    </w:rPr>
  </w:style>
  <w:style w:styleId="Style_5" w:type="paragraph">
    <w:name w:val="ConsPlusNonformat"/>
    <w:link w:val="Style_5_ch"/>
    <w:rPr>
      <w:rFonts w:ascii="Courier New" w:hAnsi="Courier New"/>
      <w:sz w:val="20"/>
    </w:rPr>
  </w:style>
  <w:style w:styleId="Style_5_ch" w:type="character">
    <w:name w:val="ConsPlusNonformat"/>
    <w:link w:val="Style_5"/>
    <w:rPr>
      <w:rFonts w:ascii="Courier New" w:hAnsi="Courier New"/>
      <w:sz w:val="20"/>
    </w:rPr>
  </w:style>
  <w:style w:styleId="Style_3" w:type="paragraph">
    <w:name w:val="Emphasis"/>
    <w:basedOn w:val="Style_15"/>
    <w:link w:val="Style_3_ch"/>
    <w:rPr>
      <w:i w:val="1"/>
    </w:rPr>
  </w:style>
  <w:style w:styleId="Style_3_ch" w:type="character">
    <w:name w:val="Emphasis"/>
    <w:basedOn w:val="Style_15_ch"/>
    <w:link w:val="Style_3"/>
    <w:rPr>
      <w:i w:val="1"/>
    </w:rPr>
  </w:style>
  <w:style w:styleId="Style_26" w:type="paragraph">
    <w:name w:val="toc 5"/>
    <w:next w:val="Style_6"/>
    <w:link w:val="Style_26_ch"/>
    <w:uiPriority w:val="39"/>
    <w:pPr>
      <w:ind w:firstLine="0" w:left="800"/>
      <w:jc w:val="left"/>
    </w:pPr>
    <w:rPr>
      <w:rFonts w:ascii="XO Thames" w:hAnsi="XO Thames"/>
      <w:sz w:val="28"/>
    </w:rPr>
  </w:style>
  <w:style w:styleId="Style_26_ch" w:type="character">
    <w:name w:val="toc 5"/>
    <w:link w:val="Style_26"/>
    <w:rPr>
      <w:rFonts w:ascii="XO Thames" w:hAnsi="XO Thames"/>
      <w:sz w:val="28"/>
    </w:rPr>
  </w:style>
  <w:style w:styleId="Style_27" w:type="paragraph">
    <w:name w:val="Subtitle"/>
    <w:next w:val="Style_6"/>
    <w:link w:val="Style_27_ch"/>
    <w:uiPriority w:val="11"/>
    <w:qFormat/>
    <w:pPr>
      <w:ind/>
      <w:jc w:val="both"/>
    </w:pPr>
    <w:rPr>
      <w:rFonts w:ascii="XO Thames" w:hAnsi="XO Thames"/>
      <w:i w:val="1"/>
      <w:sz w:val="24"/>
    </w:rPr>
  </w:style>
  <w:style w:styleId="Style_27_ch" w:type="character">
    <w:name w:val="Subtitle"/>
    <w:link w:val="Style_27"/>
    <w:rPr>
      <w:rFonts w:ascii="XO Thames" w:hAnsi="XO Thames"/>
      <w:i w:val="1"/>
      <w:sz w:val="24"/>
    </w:rPr>
  </w:style>
  <w:style w:styleId="Style_1" w:type="paragraph">
    <w:name w:val="Title"/>
    <w:basedOn w:val="Style_6"/>
    <w:link w:val="Style_1_ch"/>
    <w:uiPriority w:val="10"/>
    <w:qFormat/>
    <w:pPr>
      <w:widowControl w:val="0"/>
      <w:spacing w:after="0" w:line="240" w:lineRule="auto"/>
      <w:ind/>
      <w:jc w:val="center"/>
    </w:pPr>
    <w:rPr>
      <w:rFonts w:ascii="Times New Roman" w:hAnsi="Times New Roman"/>
      <w:b w:val="1"/>
      <w:sz w:val="20"/>
    </w:rPr>
  </w:style>
  <w:style w:styleId="Style_1_ch" w:type="character">
    <w:name w:val="Title"/>
    <w:basedOn w:val="Style_6_ch"/>
    <w:link w:val="Style_1"/>
    <w:rPr>
      <w:rFonts w:ascii="Times New Roman" w:hAnsi="Times New Roman"/>
      <w:b w:val="1"/>
      <w:sz w:val="20"/>
    </w:rPr>
  </w:style>
  <w:style w:styleId="Style_28" w:type="paragraph">
    <w:name w:val="heading 4"/>
    <w:next w:val="Style_6"/>
    <w:link w:val="Style_28_ch"/>
    <w:uiPriority w:val="9"/>
    <w:qFormat/>
    <w:pPr>
      <w:spacing w:after="120" w:before="120"/>
      <w:ind/>
      <w:jc w:val="both"/>
      <w:outlineLvl w:val="3"/>
    </w:pPr>
    <w:rPr>
      <w:rFonts w:ascii="XO Thames" w:hAnsi="XO Thames"/>
      <w:b w:val="1"/>
      <w:sz w:val="24"/>
    </w:rPr>
  </w:style>
  <w:style w:styleId="Style_28_ch" w:type="character">
    <w:name w:val="heading 4"/>
    <w:link w:val="Style_28"/>
    <w:rPr>
      <w:rFonts w:ascii="XO Thames" w:hAnsi="XO Thames"/>
      <w:b w:val="1"/>
      <w:sz w:val="24"/>
    </w:rPr>
  </w:style>
  <w:style w:styleId="Style_29" w:type="paragraph">
    <w:name w:val="caption"/>
    <w:basedOn w:val="Style_6"/>
    <w:link w:val="Style_29_ch"/>
    <w:pPr>
      <w:widowControl w:val="1"/>
      <w:spacing w:after="120" w:before="120"/>
      <w:ind/>
    </w:pPr>
    <w:rPr>
      <w:rFonts w:ascii="PT Astra Serif" w:hAnsi="PT Astra Serif"/>
      <w:i w:val="1"/>
      <w:sz w:val="24"/>
    </w:rPr>
  </w:style>
  <w:style w:styleId="Style_29_ch" w:type="character">
    <w:name w:val="caption"/>
    <w:basedOn w:val="Style_6_ch"/>
    <w:link w:val="Style_29"/>
    <w:rPr>
      <w:rFonts w:ascii="PT Astra Serif" w:hAnsi="PT Astra Serif"/>
      <w:i w:val="1"/>
      <w:sz w:val="24"/>
    </w:rPr>
  </w:style>
  <w:style w:styleId="Style_30" w:type="paragraph">
    <w:name w:val="heading 2"/>
    <w:next w:val="Style_6"/>
    <w:link w:val="Style_30_ch"/>
    <w:uiPriority w:val="9"/>
    <w:qFormat/>
    <w:pPr>
      <w:spacing w:after="120" w:before="120"/>
      <w:ind/>
      <w:jc w:val="both"/>
      <w:outlineLvl w:val="1"/>
    </w:pPr>
    <w:rPr>
      <w:rFonts w:ascii="XO Thames" w:hAnsi="XO Thames"/>
      <w:b w:val="1"/>
      <w:sz w:val="28"/>
    </w:rPr>
  </w:style>
  <w:style w:styleId="Style_30_ch" w:type="character">
    <w:name w:val="heading 2"/>
    <w:link w:val="Style_30"/>
    <w:rPr>
      <w:rFonts w:ascii="XO Thames" w:hAnsi="XO Thames"/>
      <w:b w:val="1"/>
      <w:sz w:val="28"/>
    </w:rPr>
  </w:style>
  <w:style w:styleId="Style_31" w:type="paragraph">
    <w:name w:val="index heading"/>
    <w:basedOn w:val="Style_6"/>
    <w:link w:val="Style_31_ch"/>
    <w:rPr>
      <w:rFonts w:ascii="PT Astra Serif" w:hAnsi="PT Astra Serif"/>
    </w:rPr>
  </w:style>
  <w:style w:styleId="Style_31_ch" w:type="character">
    <w:name w:val="index heading"/>
    <w:basedOn w:val="Style_6_ch"/>
    <w:link w:val="Style_31"/>
    <w:rPr>
      <w:rFonts w:ascii="PT Astra Serif" w:hAnsi="PT Astra Serif"/>
    </w:rPr>
  </w:style>
  <w:style w:default="1" w:styleId="Style_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gradFill>
        <a:gradFill>
          <a:gsLst>
            <a:gs pos="0">
              <a:schemeClr val="phClr">
                <a:lumMod val="102000"/>
                <a:tint val="94000"/>
              </a:schemeClr>
            </a:gs>
            <a:gs pos="50000">
              <a:schemeClr val="phClr">
                <a:lumMod val="100000"/>
                <a:shade val="100000"/>
              </a:schemeClr>
            </a:gs>
            <a:gs pos="100000">
              <a:schemeClr val="phClr">
                <a:lumMod val="99000"/>
                <a:shade val="78000"/>
              </a:schemeClr>
            </a:gs>
          </a:gsLst>
        </a:gradFill>
      </a:fillStyleLst>
      <a:lnStyleLst>
        <a:ln w="6350">
          <a:prstDash val="solid"/>
        </a:ln>
        <a:ln w="12700">
          <a:prstDash val="solid"/>
        </a:ln>
        <a:ln w="1905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2026-07-29T10:29:00Z</dcterms:created>
  <dcterms:modified xsi:type="dcterms:W3CDTF">2026-07-29T10:29:00Z</dcterms:modified>
</cp:coreProperties>
</file>