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B9D7C" w14:textId="77777777" w:rsidR="00EC51DA" w:rsidRDefault="00EC51DA" w:rsidP="00CE615B"/>
    <w:p w14:paraId="3E2E6783" w14:textId="77777777" w:rsidR="00985225" w:rsidRDefault="00985225" w:rsidP="00E165F9">
      <w:pPr>
        <w:rPr>
          <w:b/>
          <w:sz w:val="22"/>
          <w:szCs w:val="22"/>
        </w:rPr>
      </w:pPr>
    </w:p>
    <w:p w14:paraId="553018D7" w14:textId="77777777" w:rsidR="00585B8E" w:rsidRPr="00585B8E" w:rsidRDefault="00585B8E" w:rsidP="00585B8E">
      <w:pPr>
        <w:widowControl w:val="0"/>
        <w:tabs>
          <w:tab w:val="left" w:pos="6852"/>
        </w:tabs>
        <w:autoSpaceDE w:val="0"/>
        <w:autoSpaceDN w:val="0"/>
        <w:adjustRightInd w:val="0"/>
        <w:rPr>
          <w:sz w:val="24"/>
          <w:szCs w:val="24"/>
          <w:lang w:eastAsia="en-US"/>
        </w:rPr>
      </w:pPr>
    </w:p>
    <w:tbl>
      <w:tblPr>
        <w:tblStyle w:val="2"/>
        <w:tblW w:w="10745" w:type="dxa"/>
        <w:tblInd w:w="-572" w:type="dxa"/>
        <w:tblLook w:val="04A0" w:firstRow="1" w:lastRow="0" w:firstColumn="1" w:lastColumn="0" w:noHBand="0" w:noVBand="1"/>
      </w:tblPr>
      <w:tblGrid>
        <w:gridCol w:w="487"/>
        <w:gridCol w:w="2178"/>
        <w:gridCol w:w="6521"/>
        <w:gridCol w:w="1559"/>
      </w:tblGrid>
      <w:tr w:rsidR="00585B8E" w:rsidRPr="00585B8E" w14:paraId="182636B1" w14:textId="77777777" w:rsidTr="004B6F49">
        <w:tc>
          <w:tcPr>
            <w:tcW w:w="10745" w:type="dxa"/>
            <w:gridSpan w:val="4"/>
          </w:tcPr>
          <w:p w14:paraId="3135DDF4" w14:textId="77777777" w:rsidR="00585B8E" w:rsidRPr="00585B8E" w:rsidRDefault="00585B8E" w:rsidP="00585B8E">
            <w:pPr>
              <w:jc w:val="both"/>
              <w:rPr>
                <w:b/>
                <w:szCs w:val="16"/>
              </w:rPr>
            </w:pPr>
            <w:r w:rsidRPr="00585B8E">
              <w:rPr>
                <w:b/>
                <w:szCs w:val="16"/>
              </w:rPr>
              <w:t>Оборудование для организации занятий по теме: «Пропедевтика инженерного образования»</w:t>
            </w:r>
          </w:p>
          <w:p w14:paraId="7A90980D" w14:textId="03CFA5D2" w:rsidR="00585B8E" w:rsidRPr="00585B8E" w:rsidRDefault="00585B8E" w:rsidP="00585B8E">
            <w:pPr>
              <w:jc w:val="both"/>
              <w:rPr>
                <w:b/>
                <w:szCs w:val="16"/>
              </w:rPr>
            </w:pPr>
            <w:r w:rsidRPr="00585B8E">
              <w:rPr>
                <w:bCs/>
                <w:color w:val="000000" w:themeColor="text1"/>
                <w:szCs w:val="16"/>
              </w:rPr>
              <w:t xml:space="preserve">Оборудование состоит из 4 позиций: </w:t>
            </w:r>
            <w:r w:rsidRPr="00585B8E">
              <w:rPr>
                <w:bCs/>
                <w:i/>
                <w:iCs/>
                <w:color w:val="000000" w:themeColor="text1"/>
                <w:szCs w:val="16"/>
              </w:rPr>
              <w:t>Конструктор тип 1, Конструктор тип 4, Стратегическая настольная игра</w:t>
            </w:r>
            <w:r w:rsidR="00CE615B">
              <w:rPr>
                <w:bCs/>
                <w:i/>
                <w:iCs/>
                <w:color w:val="000000" w:themeColor="text1"/>
                <w:szCs w:val="16"/>
              </w:rPr>
              <w:t xml:space="preserve"> </w:t>
            </w:r>
            <w:r w:rsidR="00CE615B" w:rsidRPr="00CE615B">
              <w:rPr>
                <w:bCs/>
                <w:i/>
                <w:iCs/>
                <w:color w:val="000000" w:themeColor="text1"/>
                <w:szCs w:val="16"/>
              </w:rPr>
              <w:t>д</w:t>
            </w:r>
            <w:r w:rsidR="00CE615B" w:rsidRPr="00CE615B">
              <w:rPr>
                <w:rFonts w:eastAsiaTheme="minorEastAsia"/>
                <w:i/>
                <w:iCs/>
                <w:szCs w:val="16"/>
              </w:rPr>
              <w:t xml:space="preserve">ля развития логического и пространственного </w:t>
            </w:r>
            <w:proofErr w:type="gramStart"/>
            <w:r w:rsidR="00CE615B" w:rsidRPr="00CE615B">
              <w:rPr>
                <w:rFonts w:eastAsiaTheme="minorEastAsia"/>
                <w:i/>
                <w:iCs/>
                <w:szCs w:val="16"/>
              </w:rPr>
              <w:t>мышления</w:t>
            </w:r>
            <w:r w:rsidRPr="00585B8E">
              <w:rPr>
                <w:bCs/>
                <w:i/>
                <w:iCs/>
                <w:color w:val="000000" w:themeColor="text1"/>
                <w:szCs w:val="16"/>
              </w:rPr>
              <w:t>,  Комплект</w:t>
            </w:r>
            <w:proofErr w:type="gramEnd"/>
            <w:r w:rsidRPr="00585B8E">
              <w:rPr>
                <w:bCs/>
                <w:i/>
                <w:iCs/>
                <w:color w:val="000000" w:themeColor="text1"/>
                <w:szCs w:val="16"/>
              </w:rPr>
              <w:t xml:space="preserve">  расширения для настольной игры. </w:t>
            </w:r>
            <w:r w:rsidRPr="00585B8E">
              <w:rPr>
                <w:bCs/>
                <w:color w:val="000000" w:themeColor="text1"/>
                <w:szCs w:val="16"/>
              </w:rPr>
              <w:t xml:space="preserve">Все оборудование должно быть одной торговой марки для соблюдения единства, преемственности и удобства использования. </w:t>
            </w:r>
            <w:r w:rsidRPr="00585B8E">
              <w:rPr>
                <w:bCs/>
                <w:color w:val="000000" w:themeColor="text1"/>
                <w:szCs w:val="16"/>
              </w:rPr>
              <w:br/>
            </w:r>
          </w:p>
        </w:tc>
      </w:tr>
      <w:tr w:rsidR="00585B8E" w:rsidRPr="00585B8E" w14:paraId="0104C6BB" w14:textId="77777777" w:rsidTr="004B6F49">
        <w:tc>
          <w:tcPr>
            <w:tcW w:w="487" w:type="dxa"/>
          </w:tcPr>
          <w:p w14:paraId="0D0CE378" w14:textId="77777777" w:rsidR="00585B8E" w:rsidRPr="00585B8E" w:rsidRDefault="00585B8E" w:rsidP="00585B8E">
            <w:pPr>
              <w:widowControl w:val="0"/>
              <w:autoSpaceDE w:val="0"/>
              <w:autoSpaceDN w:val="0"/>
              <w:adjustRightInd w:val="0"/>
              <w:rPr>
                <w:rFonts w:eastAsiaTheme="minorEastAsia"/>
                <w:b/>
                <w:szCs w:val="16"/>
              </w:rPr>
            </w:pPr>
            <w:r w:rsidRPr="00585B8E">
              <w:rPr>
                <w:rFonts w:eastAsiaTheme="minorEastAsia"/>
                <w:b/>
                <w:szCs w:val="16"/>
              </w:rPr>
              <w:t>№</w:t>
            </w:r>
          </w:p>
        </w:tc>
        <w:tc>
          <w:tcPr>
            <w:tcW w:w="2178" w:type="dxa"/>
          </w:tcPr>
          <w:p w14:paraId="427F2ACA" w14:textId="77777777" w:rsidR="00585B8E" w:rsidRPr="00585B8E" w:rsidRDefault="00585B8E" w:rsidP="00585B8E">
            <w:pPr>
              <w:widowControl w:val="0"/>
              <w:autoSpaceDE w:val="0"/>
              <w:autoSpaceDN w:val="0"/>
              <w:adjustRightInd w:val="0"/>
              <w:rPr>
                <w:rFonts w:eastAsiaTheme="minorEastAsia"/>
                <w:b/>
                <w:szCs w:val="16"/>
              </w:rPr>
            </w:pPr>
            <w:r w:rsidRPr="00585B8E">
              <w:rPr>
                <w:rFonts w:eastAsiaTheme="minorEastAsia"/>
                <w:b/>
                <w:szCs w:val="16"/>
              </w:rPr>
              <w:t>Наименование товара</w:t>
            </w:r>
          </w:p>
        </w:tc>
        <w:tc>
          <w:tcPr>
            <w:tcW w:w="6521" w:type="dxa"/>
          </w:tcPr>
          <w:p w14:paraId="23996A11" w14:textId="77777777" w:rsidR="00585B8E" w:rsidRPr="00585B8E" w:rsidRDefault="00585B8E" w:rsidP="00585B8E">
            <w:pPr>
              <w:widowControl w:val="0"/>
              <w:autoSpaceDE w:val="0"/>
              <w:autoSpaceDN w:val="0"/>
              <w:adjustRightInd w:val="0"/>
              <w:rPr>
                <w:rFonts w:eastAsiaTheme="minorEastAsia"/>
                <w:b/>
                <w:szCs w:val="16"/>
              </w:rPr>
            </w:pPr>
            <w:r w:rsidRPr="00585B8E">
              <w:rPr>
                <w:rFonts w:eastAsiaTheme="minorEastAsia"/>
                <w:b/>
                <w:szCs w:val="16"/>
              </w:rPr>
              <w:t>Технические характеристики и потребительские свойства товара</w:t>
            </w:r>
          </w:p>
        </w:tc>
        <w:tc>
          <w:tcPr>
            <w:tcW w:w="1559" w:type="dxa"/>
          </w:tcPr>
          <w:p w14:paraId="4F86CA1E" w14:textId="77777777" w:rsidR="00585B8E" w:rsidRPr="00585B8E" w:rsidRDefault="00585B8E" w:rsidP="00585B8E">
            <w:pPr>
              <w:widowControl w:val="0"/>
              <w:autoSpaceDE w:val="0"/>
              <w:autoSpaceDN w:val="0"/>
              <w:adjustRightInd w:val="0"/>
              <w:rPr>
                <w:rFonts w:eastAsiaTheme="minorEastAsia"/>
                <w:b/>
                <w:szCs w:val="16"/>
              </w:rPr>
            </w:pPr>
            <w:r w:rsidRPr="00585B8E">
              <w:rPr>
                <w:rFonts w:eastAsiaTheme="minorEastAsia"/>
                <w:b/>
                <w:szCs w:val="16"/>
              </w:rPr>
              <w:t>Количество, шт.</w:t>
            </w:r>
          </w:p>
        </w:tc>
      </w:tr>
      <w:tr w:rsidR="00585B8E" w:rsidRPr="00585B8E" w14:paraId="3FB4C480" w14:textId="77777777" w:rsidTr="004B6F49">
        <w:tc>
          <w:tcPr>
            <w:tcW w:w="487" w:type="dxa"/>
          </w:tcPr>
          <w:p w14:paraId="2F48A1A4"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1</w:t>
            </w:r>
          </w:p>
        </w:tc>
        <w:tc>
          <w:tcPr>
            <w:tcW w:w="2178" w:type="dxa"/>
          </w:tcPr>
          <w:p w14:paraId="106DE2C7" w14:textId="77777777" w:rsidR="00585B8E" w:rsidRPr="00585B8E" w:rsidRDefault="00585B8E" w:rsidP="00585B8E">
            <w:pPr>
              <w:widowControl w:val="0"/>
              <w:autoSpaceDE w:val="0"/>
              <w:autoSpaceDN w:val="0"/>
              <w:adjustRightInd w:val="0"/>
              <w:rPr>
                <w:rFonts w:eastAsiaTheme="minorEastAsia"/>
                <w:color w:val="FF0000"/>
                <w:szCs w:val="16"/>
              </w:rPr>
            </w:pPr>
            <w:r w:rsidRPr="00585B8E">
              <w:rPr>
                <w:rFonts w:eastAsiaTheme="minorEastAsia"/>
                <w:szCs w:val="16"/>
              </w:rPr>
              <w:t xml:space="preserve">Конструктор тип 1 </w:t>
            </w:r>
            <w:proofErr w:type="spellStart"/>
            <w:r w:rsidRPr="00585B8E">
              <w:rPr>
                <w:rFonts w:eastAsiaTheme="minorEastAsia"/>
                <w:color w:val="FF0000"/>
                <w:szCs w:val="16"/>
              </w:rPr>
              <w:t>cuboro</w:t>
            </w:r>
            <w:proofErr w:type="spellEnd"/>
            <w:r w:rsidRPr="00585B8E">
              <w:rPr>
                <w:rFonts w:eastAsiaTheme="minorEastAsia"/>
                <w:color w:val="FF0000"/>
                <w:szCs w:val="16"/>
              </w:rPr>
              <w:t xml:space="preserve"> </w:t>
            </w:r>
            <w:proofErr w:type="spellStart"/>
            <w:r w:rsidRPr="00585B8E">
              <w:rPr>
                <w:rFonts w:eastAsiaTheme="minorEastAsia"/>
                <w:color w:val="FF0000"/>
                <w:szCs w:val="16"/>
              </w:rPr>
              <w:t>standard</w:t>
            </w:r>
            <w:proofErr w:type="spellEnd"/>
            <w:r w:rsidRPr="00585B8E">
              <w:rPr>
                <w:rFonts w:eastAsiaTheme="minorEastAsia"/>
                <w:color w:val="FF0000"/>
                <w:szCs w:val="16"/>
              </w:rPr>
              <w:t xml:space="preserve"> 16 (или эквивалент)</w:t>
            </w:r>
          </w:p>
          <w:p w14:paraId="62A1B53C" w14:textId="77777777" w:rsidR="00585B8E" w:rsidRPr="00585B8E" w:rsidRDefault="00585B8E" w:rsidP="00585B8E">
            <w:pPr>
              <w:widowControl w:val="0"/>
              <w:autoSpaceDE w:val="0"/>
              <w:autoSpaceDN w:val="0"/>
              <w:adjustRightInd w:val="0"/>
              <w:rPr>
                <w:rFonts w:eastAsiaTheme="minorEastAsia"/>
                <w:szCs w:val="16"/>
              </w:rPr>
            </w:pPr>
          </w:p>
        </w:tc>
        <w:tc>
          <w:tcPr>
            <w:tcW w:w="6521" w:type="dxa"/>
          </w:tcPr>
          <w:p w14:paraId="70B2A52F"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Состав конструктора:</w:t>
            </w:r>
          </w:p>
          <w:p w14:paraId="1077F144"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технологические отверстия кубиков (тоннели и желоба) должны быть гладкими, без видимых глазом жженых областей деревянной структуры кубика, неровностей в обработке. Структура деревянного кубика должна быть однородной по всем граням, желобам и внутри тоннелей (технологических отверстий).</w:t>
            </w:r>
          </w:p>
          <w:p w14:paraId="646F747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из дерева не менее 16 шт. </w:t>
            </w:r>
          </w:p>
          <w:p w14:paraId="22D43DB2"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должны представлять из себя куб с размерами 50,00 х 50,00 х 50,00 мм. Допустимая погрешность в размере не более диапазона +- 0,02 мм </w:t>
            </w:r>
          </w:p>
          <w:p w14:paraId="434F932E"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без технологических отверстий не менее 2 шт.</w:t>
            </w:r>
          </w:p>
          <w:p w14:paraId="5ECE2A6B"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с одним прямым желобом на грани и параллельным ему внутренним прямым тоннелем выходящим и входящим посередине грани. Не менее 1 шт.</w:t>
            </w:r>
          </w:p>
          <w:p w14:paraId="263E3B7D"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прямыми желобами на противоположных гранях (сверху и снизу) и параллельный для одной из граней с желобом и перпендикулярный для </w:t>
            </w:r>
            <w:proofErr w:type="gramStart"/>
            <w:r w:rsidRPr="00585B8E">
              <w:rPr>
                <w:rFonts w:eastAsiaTheme="minorEastAsia"/>
                <w:szCs w:val="16"/>
              </w:rPr>
              <w:t>другой  прямой</w:t>
            </w:r>
            <w:proofErr w:type="gramEnd"/>
            <w:r w:rsidRPr="00585B8E">
              <w:rPr>
                <w:rFonts w:eastAsiaTheme="minorEastAsia"/>
                <w:szCs w:val="16"/>
              </w:rPr>
              <w:t xml:space="preserve"> тоннель посередине.  Не менее 2 шт. </w:t>
            </w:r>
          </w:p>
          <w:p w14:paraId="3C7D047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с двумя перпендикулярными желобами посередине грани (крест-накрест) и внутренним прямым тоннелем посередине. Не менее 1 шт.</w:t>
            </w:r>
          </w:p>
          <w:p w14:paraId="23217C8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изогнутым желобом на грани, соединяющий два перпендикулярных ребра и прямым тоннелем посередине. Не менее 1 шт. </w:t>
            </w:r>
          </w:p>
          <w:p w14:paraId="56B360CB"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изогнутым желобом на грани, соединяющий два перпендикулярных ребра и </w:t>
            </w:r>
            <w:proofErr w:type="gramStart"/>
            <w:r w:rsidRPr="00585B8E">
              <w:rPr>
                <w:rFonts w:eastAsiaTheme="minorEastAsia"/>
                <w:szCs w:val="16"/>
              </w:rPr>
              <w:t>изогнутым тоннелем</w:t>
            </w:r>
            <w:proofErr w:type="gramEnd"/>
            <w:r w:rsidRPr="00585B8E">
              <w:rPr>
                <w:rFonts w:eastAsiaTheme="minorEastAsia"/>
                <w:szCs w:val="16"/>
              </w:rPr>
              <w:t xml:space="preserve"> начинающимся с середины грани и выходящим вниз перпендикулярной грани. Направления желоба и тоннеля должны быть в разные стороны не менее 1 шт. </w:t>
            </w:r>
          </w:p>
          <w:p w14:paraId="3A95417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прямым желобом на грани и </w:t>
            </w:r>
            <w:proofErr w:type="gramStart"/>
            <w:r w:rsidRPr="00585B8E">
              <w:rPr>
                <w:rFonts w:eastAsiaTheme="minorEastAsia"/>
                <w:szCs w:val="16"/>
              </w:rPr>
              <w:t>внутренним изогнутым тоннелем</w:t>
            </w:r>
            <w:proofErr w:type="gramEnd"/>
            <w:r w:rsidRPr="00585B8E">
              <w:rPr>
                <w:rFonts w:eastAsiaTheme="minorEastAsia"/>
                <w:szCs w:val="16"/>
              </w:rPr>
              <w:t xml:space="preserve"> начинающимся с середины грани и уходящих на перпендикулярную грань вниз под ребро, но ребра не касаясь. Не менее 1 шт. </w:t>
            </w:r>
          </w:p>
          <w:p w14:paraId="0AFD0D0F"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двумя перпендикулярными желобами посередине грани (крест-накрест) и </w:t>
            </w:r>
            <w:proofErr w:type="gramStart"/>
            <w:r w:rsidRPr="00585B8E">
              <w:rPr>
                <w:rFonts w:eastAsiaTheme="minorEastAsia"/>
                <w:szCs w:val="16"/>
              </w:rPr>
              <w:t>внутренним тоннелем</w:t>
            </w:r>
            <w:proofErr w:type="gramEnd"/>
            <w:r w:rsidRPr="00585B8E">
              <w:rPr>
                <w:rFonts w:eastAsiaTheme="minorEastAsia"/>
                <w:szCs w:val="16"/>
              </w:rPr>
              <w:t xml:space="preserve"> начинающимся с середины этой же грани с желобами </w:t>
            </w:r>
            <w:proofErr w:type="gramStart"/>
            <w:r w:rsidRPr="00585B8E">
              <w:rPr>
                <w:rFonts w:eastAsiaTheme="minorEastAsia"/>
                <w:szCs w:val="16"/>
              </w:rPr>
              <w:t>и  выходящих</w:t>
            </w:r>
            <w:proofErr w:type="gramEnd"/>
            <w:r w:rsidRPr="00585B8E">
              <w:rPr>
                <w:rFonts w:eastAsiaTheme="minorEastAsia"/>
                <w:szCs w:val="16"/>
              </w:rPr>
              <w:t xml:space="preserve"> из середины перпендикулярной грани. Не менее 2 шт.</w:t>
            </w:r>
          </w:p>
          <w:p w14:paraId="28EAACFA"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с двумя перпендикулярными желобами посередине грани (крест-накрест) и </w:t>
            </w:r>
            <w:proofErr w:type="gramStart"/>
            <w:r w:rsidRPr="00585B8E">
              <w:rPr>
                <w:rFonts w:eastAsiaTheme="minorEastAsia"/>
                <w:szCs w:val="16"/>
              </w:rPr>
              <w:t>внутренним тоннелем</w:t>
            </w:r>
            <w:proofErr w:type="gramEnd"/>
            <w:r w:rsidRPr="00585B8E">
              <w:rPr>
                <w:rFonts w:eastAsiaTheme="minorEastAsia"/>
                <w:szCs w:val="16"/>
              </w:rPr>
              <w:t xml:space="preserve"> начинающимся с середины этой же грани с желобами </w:t>
            </w:r>
            <w:proofErr w:type="gramStart"/>
            <w:r w:rsidRPr="00585B8E">
              <w:rPr>
                <w:rFonts w:eastAsiaTheme="minorEastAsia"/>
                <w:szCs w:val="16"/>
              </w:rPr>
              <w:t>и  выходящих</w:t>
            </w:r>
            <w:proofErr w:type="gramEnd"/>
            <w:r w:rsidRPr="00585B8E">
              <w:rPr>
                <w:rFonts w:eastAsiaTheme="minorEastAsia"/>
                <w:szCs w:val="16"/>
              </w:rPr>
              <w:t xml:space="preserve"> из нижней части перпендикулярной грани, но не касающийся ее ребра. Не менее 1 шт. </w:t>
            </w:r>
          </w:p>
          <w:p w14:paraId="4DFAB2F5" w14:textId="77777777" w:rsidR="00585B8E" w:rsidRPr="00585B8E" w:rsidRDefault="00585B8E" w:rsidP="00585B8E">
            <w:pPr>
              <w:jc w:val="both"/>
              <w:rPr>
                <w:szCs w:val="16"/>
              </w:rPr>
            </w:pPr>
            <w:r w:rsidRPr="00585B8E">
              <w:rPr>
                <w:szCs w:val="16"/>
              </w:rPr>
              <w:t>Конструктивные элементы для хранения шариков в виде цилиндрического отверстия четырьмя желобами от каждого ребра.  ≥ 1 шт.</w:t>
            </w:r>
          </w:p>
          <w:p w14:paraId="25B04D6D"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Стеклянные шарики разных цветов (отсутствуют повторяющиеся цвета). Не менее 5 шт.</w:t>
            </w:r>
          </w:p>
          <w:p w14:paraId="7C02CD59" w14:textId="3F2D8C3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Диаметр стеклянных шариков не менее 16 и не более 17 мм</w:t>
            </w:r>
          </w:p>
        </w:tc>
        <w:tc>
          <w:tcPr>
            <w:tcW w:w="1559" w:type="dxa"/>
          </w:tcPr>
          <w:p w14:paraId="128CD42F" w14:textId="77777777" w:rsidR="00585B8E" w:rsidRPr="00585B8E" w:rsidRDefault="00585B8E" w:rsidP="00585B8E">
            <w:pPr>
              <w:jc w:val="both"/>
              <w:rPr>
                <w:szCs w:val="16"/>
              </w:rPr>
            </w:pPr>
            <w:r w:rsidRPr="00585B8E">
              <w:rPr>
                <w:szCs w:val="16"/>
              </w:rPr>
              <w:t>10</w:t>
            </w:r>
          </w:p>
        </w:tc>
      </w:tr>
      <w:tr w:rsidR="00585B8E" w:rsidRPr="00585B8E" w14:paraId="56E5360C" w14:textId="77777777" w:rsidTr="004B6F49">
        <w:tc>
          <w:tcPr>
            <w:tcW w:w="487" w:type="dxa"/>
          </w:tcPr>
          <w:p w14:paraId="14E3298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2</w:t>
            </w:r>
          </w:p>
        </w:tc>
        <w:tc>
          <w:tcPr>
            <w:tcW w:w="2178" w:type="dxa"/>
          </w:tcPr>
          <w:p w14:paraId="69BD27BC" w14:textId="27115DD0" w:rsidR="00585B8E" w:rsidRPr="00585B8E" w:rsidRDefault="00585B8E" w:rsidP="00585B8E">
            <w:pPr>
              <w:widowControl w:val="0"/>
              <w:autoSpaceDE w:val="0"/>
              <w:autoSpaceDN w:val="0"/>
              <w:adjustRightInd w:val="0"/>
              <w:rPr>
                <w:rFonts w:eastAsiaTheme="minorEastAsia"/>
                <w:color w:val="FF0000"/>
                <w:szCs w:val="16"/>
              </w:rPr>
            </w:pPr>
            <w:r w:rsidRPr="00585B8E">
              <w:rPr>
                <w:rFonts w:eastAsiaTheme="minorEastAsia"/>
                <w:szCs w:val="16"/>
              </w:rPr>
              <w:t>Стратегическая настольная игра для развития логического и пространственного</w:t>
            </w:r>
            <w:r w:rsidR="00CE615B">
              <w:rPr>
                <w:rFonts w:eastAsiaTheme="minorEastAsia"/>
                <w:szCs w:val="16"/>
              </w:rPr>
              <w:t xml:space="preserve"> мышления</w:t>
            </w:r>
            <w:r w:rsidRPr="00585B8E">
              <w:rPr>
                <w:rFonts w:eastAsiaTheme="minorEastAsia"/>
                <w:szCs w:val="16"/>
              </w:rPr>
              <w:t xml:space="preserve"> </w:t>
            </w:r>
            <w:proofErr w:type="spellStart"/>
            <w:r w:rsidRPr="00585B8E">
              <w:rPr>
                <w:rFonts w:eastAsiaTheme="minorEastAsia"/>
                <w:color w:val="FF0000"/>
                <w:szCs w:val="16"/>
                <w:lang w:val="en-US"/>
              </w:rPr>
              <w:t>Cuboro</w:t>
            </w:r>
            <w:proofErr w:type="spellEnd"/>
            <w:r w:rsidRPr="00585B8E">
              <w:rPr>
                <w:rFonts w:eastAsiaTheme="minorEastAsia"/>
                <w:color w:val="FF0000"/>
                <w:szCs w:val="16"/>
              </w:rPr>
              <w:t xml:space="preserve"> </w:t>
            </w:r>
            <w:r w:rsidRPr="00585B8E">
              <w:rPr>
                <w:rFonts w:eastAsiaTheme="minorEastAsia"/>
                <w:color w:val="FF0000"/>
                <w:szCs w:val="16"/>
                <w:lang w:val="en-US"/>
              </w:rPr>
              <w:t>tricky</w:t>
            </w:r>
            <w:r w:rsidRPr="00585B8E">
              <w:rPr>
                <w:rFonts w:eastAsiaTheme="minorEastAsia"/>
                <w:color w:val="FF0000"/>
                <w:szCs w:val="16"/>
              </w:rPr>
              <w:t xml:space="preserve"> </w:t>
            </w:r>
            <w:r w:rsidRPr="00585B8E">
              <w:rPr>
                <w:rFonts w:eastAsiaTheme="minorEastAsia"/>
                <w:color w:val="FF0000"/>
                <w:szCs w:val="16"/>
                <w:lang w:val="en-US"/>
              </w:rPr>
              <w:t>ways</w:t>
            </w:r>
            <w:r w:rsidRPr="00585B8E">
              <w:rPr>
                <w:rFonts w:eastAsiaTheme="minorEastAsia"/>
                <w:color w:val="FF0000"/>
                <w:szCs w:val="16"/>
              </w:rPr>
              <w:t xml:space="preserve"> </w:t>
            </w:r>
            <w:proofErr w:type="spellStart"/>
            <w:r w:rsidRPr="00585B8E">
              <w:rPr>
                <w:rFonts w:eastAsiaTheme="minorEastAsia"/>
                <w:color w:val="FF0000"/>
                <w:szCs w:val="16"/>
                <w:lang w:val="en-US"/>
              </w:rPr>
              <w:t>fasal</w:t>
            </w:r>
            <w:proofErr w:type="spellEnd"/>
            <w:r w:rsidRPr="00585B8E">
              <w:rPr>
                <w:rFonts w:eastAsiaTheme="minorEastAsia"/>
                <w:color w:val="FF0000"/>
                <w:szCs w:val="16"/>
              </w:rPr>
              <w:t xml:space="preserve"> (или эквивалент)</w:t>
            </w:r>
          </w:p>
          <w:p w14:paraId="18AA55A1" w14:textId="77777777" w:rsidR="00585B8E" w:rsidRPr="00585B8E" w:rsidRDefault="00585B8E" w:rsidP="00585B8E">
            <w:pPr>
              <w:widowControl w:val="0"/>
              <w:autoSpaceDE w:val="0"/>
              <w:autoSpaceDN w:val="0"/>
              <w:adjustRightInd w:val="0"/>
              <w:rPr>
                <w:rFonts w:eastAsiaTheme="minorEastAsia"/>
                <w:szCs w:val="16"/>
              </w:rPr>
            </w:pPr>
          </w:p>
        </w:tc>
        <w:tc>
          <w:tcPr>
            <w:tcW w:w="6521" w:type="dxa"/>
          </w:tcPr>
          <w:p w14:paraId="79CC691B" w14:textId="12ADCD59"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Стратегическая настольная игра для развития логического и пространственного мышления состоит из игрового поля внешним видом, напоминающим рамку. Внутри основного игрового поля можно расположить двухстороннее основание, которые будет являться подсказкой для расположения на нём кубиков.  В комплект должно входить не менее 8 шт. кубических элементов с разными технологическими отверстиями (желобами на основании и тоннелями внутри). По всему периметру верхнего основания игрового поля должны находится небольшие углубления круглой формы, для установления игровой фишки. Всего углублений не менее 36 и не более 40. На основании основного игрового поля также должны находится лунки для шариков. По три лунки с каждой стороны.  В комплект игры должно входить: не менее 4 игровых фишек разного </w:t>
            </w:r>
            <w:r w:rsidRPr="00585B8E">
              <w:rPr>
                <w:rFonts w:eastAsiaTheme="minorEastAsia"/>
                <w:szCs w:val="16"/>
              </w:rPr>
              <w:lastRenderedPageBreak/>
              <w:t xml:space="preserve">цвета, не менее 15 шариков диаметром не более 17 мм, не менее 4 шт. боксов для шариков, не менее 8 кубических элементов размером не менее 4х4х4 см. и не менее одного элемента (стартовой башни) размерами не менее 4х4х6 см. </w:t>
            </w:r>
          </w:p>
        </w:tc>
        <w:tc>
          <w:tcPr>
            <w:tcW w:w="1559" w:type="dxa"/>
          </w:tcPr>
          <w:p w14:paraId="31E91C08"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lastRenderedPageBreak/>
              <w:t>5</w:t>
            </w:r>
          </w:p>
        </w:tc>
      </w:tr>
      <w:tr w:rsidR="00585B8E" w:rsidRPr="00585B8E" w14:paraId="4CB459F4" w14:textId="77777777" w:rsidTr="004B6F49">
        <w:tc>
          <w:tcPr>
            <w:tcW w:w="487" w:type="dxa"/>
          </w:tcPr>
          <w:p w14:paraId="32574DB7"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3</w:t>
            </w:r>
          </w:p>
        </w:tc>
        <w:tc>
          <w:tcPr>
            <w:tcW w:w="2178" w:type="dxa"/>
          </w:tcPr>
          <w:p w14:paraId="5A4D39C6" w14:textId="77777777" w:rsidR="00585B8E" w:rsidRPr="00585B8E" w:rsidRDefault="00585B8E" w:rsidP="00585B8E">
            <w:pPr>
              <w:widowControl w:val="0"/>
              <w:autoSpaceDE w:val="0"/>
              <w:autoSpaceDN w:val="0"/>
              <w:adjustRightInd w:val="0"/>
              <w:rPr>
                <w:rFonts w:eastAsiaTheme="minorEastAsia"/>
                <w:color w:val="FF0000"/>
                <w:szCs w:val="16"/>
              </w:rPr>
            </w:pPr>
            <w:r w:rsidRPr="00585B8E">
              <w:rPr>
                <w:rFonts w:eastAsiaTheme="minorEastAsia"/>
                <w:szCs w:val="16"/>
              </w:rPr>
              <w:t xml:space="preserve">Комплект расширения для стратегической настольной игры </w:t>
            </w:r>
            <w:r w:rsidRPr="00585B8E">
              <w:rPr>
                <w:rFonts w:eastAsiaTheme="minorEastAsia"/>
                <w:color w:val="FF0000"/>
                <w:szCs w:val="16"/>
              </w:rPr>
              <w:t xml:space="preserve">Комплект дополнительных карт для расширения игры </w:t>
            </w:r>
            <w:r w:rsidRPr="00585B8E">
              <w:rPr>
                <w:rFonts w:eastAsiaTheme="minorEastAsia"/>
                <w:color w:val="FF0000"/>
                <w:szCs w:val="16"/>
                <w:lang w:val="en-US"/>
              </w:rPr>
              <w:t>Tricky</w:t>
            </w:r>
            <w:r w:rsidRPr="00585B8E">
              <w:rPr>
                <w:rFonts w:eastAsiaTheme="minorEastAsia"/>
                <w:color w:val="FF0000"/>
                <w:szCs w:val="16"/>
              </w:rPr>
              <w:t xml:space="preserve"> </w:t>
            </w:r>
            <w:r w:rsidRPr="00585B8E">
              <w:rPr>
                <w:rFonts w:eastAsiaTheme="minorEastAsia"/>
                <w:color w:val="FF0000"/>
                <w:szCs w:val="16"/>
                <w:lang w:val="en-US"/>
              </w:rPr>
              <w:t>ways</w:t>
            </w:r>
            <w:r w:rsidRPr="00585B8E">
              <w:rPr>
                <w:rFonts w:eastAsiaTheme="minorEastAsia"/>
                <w:color w:val="FF0000"/>
                <w:szCs w:val="16"/>
              </w:rPr>
              <w:t xml:space="preserve"> (</w:t>
            </w:r>
            <w:proofErr w:type="spellStart"/>
            <w:r w:rsidRPr="00585B8E">
              <w:rPr>
                <w:rFonts w:eastAsiaTheme="minorEastAsia"/>
                <w:color w:val="FF0000"/>
                <w:szCs w:val="16"/>
                <w:lang w:val="en-US"/>
              </w:rPr>
              <w:t>fasal</w:t>
            </w:r>
            <w:proofErr w:type="spellEnd"/>
            <w:r w:rsidRPr="00585B8E">
              <w:rPr>
                <w:rFonts w:eastAsiaTheme="minorEastAsia"/>
                <w:color w:val="FF0000"/>
                <w:szCs w:val="16"/>
              </w:rPr>
              <w:t>) (или эквивалент)</w:t>
            </w:r>
          </w:p>
          <w:p w14:paraId="5FAE4808" w14:textId="77777777" w:rsidR="00585B8E" w:rsidRPr="00585B8E" w:rsidRDefault="00585B8E" w:rsidP="00585B8E">
            <w:pPr>
              <w:widowControl w:val="0"/>
              <w:autoSpaceDE w:val="0"/>
              <w:autoSpaceDN w:val="0"/>
              <w:adjustRightInd w:val="0"/>
              <w:rPr>
                <w:rFonts w:eastAsiaTheme="minorEastAsia"/>
                <w:color w:val="FF0000"/>
                <w:szCs w:val="16"/>
              </w:rPr>
            </w:pPr>
          </w:p>
          <w:p w14:paraId="3C0E3259" w14:textId="77777777" w:rsidR="00585B8E" w:rsidRPr="00585B8E" w:rsidRDefault="00585B8E" w:rsidP="00585B8E">
            <w:pPr>
              <w:widowControl w:val="0"/>
              <w:autoSpaceDE w:val="0"/>
              <w:autoSpaceDN w:val="0"/>
              <w:adjustRightInd w:val="0"/>
              <w:rPr>
                <w:rFonts w:eastAsiaTheme="minorEastAsia"/>
                <w:szCs w:val="16"/>
              </w:rPr>
            </w:pPr>
          </w:p>
        </w:tc>
        <w:tc>
          <w:tcPr>
            <w:tcW w:w="6521" w:type="dxa"/>
          </w:tcPr>
          <w:p w14:paraId="07AE5933"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Комплект дополнительных карт для расширения игры </w:t>
            </w:r>
            <w:r w:rsidRPr="00585B8E">
              <w:rPr>
                <w:rFonts w:eastAsiaTheme="minorEastAsia"/>
                <w:szCs w:val="16"/>
                <w:lang w:val="en-US"/>
              </w:rPr>
              <w:t>Tricky</w:t>
            </w:r>
            <w:r w:rsidRPr="00585B8E">
              <w:rPr>
                <w:rFonts w:eastAsiaTheme="minorEastAsia"/>
                <w:szCs w:val="16"/>
              </w:rPr>
              <w:t xml:space="preserve"> </w:t>
            </w:r>
            <w:r w:rsidRPr="00585B8E">
              <w:rPr>
                <w:rFonts w:eastAsiaTheme="minorEastAsia"/>
                <w:szCs w:val="16"/>
                <w:lang w:val="en-US"/>
              </w:rPr>
              <w:t>ways</w:t>
            </w:r>
            <w:r w:rsidRPr="00585B8E">
              <w:rPr>
                <w:rFonts w:eastAsiaTheme="minorEastAsia"/>
                <w:szCs w:val="16"/>
              </w:rPr>
              <w:t xml:space="preserve"> (</w:t>
            </w:r>
            <w:proofErr w:type="spellStart"/>
            <w:r w:rsidRPr="00585B8E">
              <w:rPr>
                <w:rFonts w:eastAsiaTheme="minorEastAsia"/>
                <w:szCs w:val="16"/>
                <w:lang w:val="en-US"/>
              </w:rPr>
              <w:t>fasal</w:t>
            </w:r>
            <w:proofErr w:type="spellEnd"/>
            <w:r w:rsidRPr="00585B8E">
              <w:rPr>
                <w:rFonts w:eastAsiaTheme="minorEastAsia"/>
                <w:szCs w:val="16"/>
              </w:rPr>
              <w:t>)</w:t>
            </w:r>
          </w:p>
          <w:p w14:paraId="46A0BD5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Состав комплекта расширения: не менее 1 растровой – сетки подложки с системой координат. Сетка должна быть 3*3 и в каждом секторе должна находиться буква, обозначающая тот или иной сектор. На каждой клетке кроме центральной также должно быть указано число от 1 до 12, на угловых клетках по два числа. Число должно находиться напротив лунки, </w:t>
            </w:r>
            <w:proofErr w:type="gramStart"/>
            <w:r w:rsidRPr="00585B8E">
              <w:rPr>
                <w:rFonts w:eastAsiaTheme="minorEastAsia"/>
                <w:szCs w:val="16"/>
              </w:rPr>
              <w:t>если  данную</w:t>
            </w:r>
            <w:proofErr w:type="gramEnd"/>
            <w:r w:rsidRPr="00585B8E">
              <w:rPr>
                <w:rFonts w:eastAsiaTheme="minorEastAsia"/>
                <w:szCs w:val="16"/>
              </w:rPr>
              <w:t xml:space="preserve"> растровую сетку подложку вставить в игровое поле основной стратегической игры. </w:t>
            </w:r>
          </w:p>
          <w:p w14:paraId="6A6B4BD2" w14:textId="5FCD8902"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Не менее 9 карт с заданными позициями, представляют из себя карточку с сеткой 3*3, где на каждой клетке, в определенной позиции изображена буква </w:t>
            </w:r>
            <w:proofErr w:type="gramStart"/>
            <w:r w:rsidRPr="00585B8E">
              <w:rPr>
                <w:rFonts w:eastAsiaTheme="minorEastAsia"/>
                <w:szCs w:val="16"/>
              </w:rPr>
              <w:t>такая</w:t>
            </w:r>
            <w:proofErr w:type="gramEnd"/>
            <w:r w:rsidRPr="00585B8E">
              <w:rPr>
                <w:rFonts w:eastAsiaTheme="minorEastAsia"/>
                <w:szCs w:val="16"/>
              </w:rPr>
              <w:t xml:space="preserve"> как и на самой растровой сетке. Одна из клеток должен быть выделена цветом. Не менее 8 карт с направлениями, должны представлять из себя сетку 3*3 и в каждой клетке нарисованы стрелки, обозначающие направления движения шарика. Не менее 12 карт с указанием финишной лунки. Не менее 2 наборов, в каждом наборе не менее 8 карт, с указанием конкретных кубиков или одно из граней в качестве условия задачи. В коробку должна быть вставлена положка для хранения и расположения всех карт для удобства игры.  Не менее 8 фишек «джокер», не менее 4х фишек «знак стоп», не менее 3 фишек с прямой стрелкой.  Не менее 1 инструкции на русском языке.</w:t>
            </w:r>
          </w:p>
        </w:tc>
        <w:tc>
          <w:tcPr>
            <w:tcW w:w="1559" w:type="dxa"/>
          </w:tcPr>
          <w:p w14:paraId="3148B0D3"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5</w:t>
            </w:r>
          </w:p>
        </w:tc>
      </w:tr>
      <w:tr w:rsidR="00585B8E" w:rsidRPr="00585B8E" w14:paraId="069E76C4" w14:textId="77777777" w:rsidTr="004B6F49">
        <w:trPr>
          <w:trHeight w:val="6946"/>
        </w:trPr>
        <w:tc>
          <w:tcPr>
            <w:tcW w:w="487" w:type="dxa"/>
          </w:tcPr>
          <w:p w14:paraId="3DEBD48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4</w:t>
            </w:r>
          </w:p>
        </w:tc>
        <w:tc>
          <w:tcPr>
            <w:tcW w:w="2178" w:type="dxa"/>
          </w:tcPr>
          <w:p w14:paraId="1B455F04" w14:textId="77777777" w:rsidR="00585B8E" w:rsidRPr="00585B8E" w:rsidRDefault="00585B8E" w:rsidP="00585B8E">
            <w:pPr>
              <w:widowControl w:val="0"/>
              <w:autoSpaceDE w:val="0"/>
              <w:autoSpaceDN w:val="0"/>
              <w:adjustRightInd w:val="0"/>
              <w:rPr>
                <w:rFonts w:eastAsiaTheme="minorEastAsia"/>
                <w:color w:val="FF0000"/>
                <w:szCs w:val="16"/>
              </w:rPr>
            </w:pPr>
            <w:r w:rsidRPr="00585B8E">
              <w:rPr>
                <w:rFonts w:eastAsiaTheme="minorEastAsia"/>
                <w:szCs w:val="16"/>
              </w:rPr>
              <w:t xml:space="preserve">Конструктор тип 4 </w:t>
            </w:r>
            <w:r w:rsidRPr="00585B8E">
              <w:rPr>
                <w:rFonts w:eastAsiaTheme="minorEastAsia"/>
                <w:color w:val="FF0000"/>
                <w:szCs w:val="16"/>
              </w:rPr>
              <w:t>CUBORO JUNIOR (или эквивалент)</w:t>
            </w:r>
          </w:p>
          <w:p w14:paraId="4F5AEEB9" w14:textId="77777777" w:rsidR="00585B8E" w:rsidRPr="00585B8E" w:rsidRDefault="00585B8E" w:rsidP="00585B8E">
            <w:pPr>
              <w:widowControl w:val="0"/>
              <w:autoSpaceDE w:val="0"/>
              <w:autoSpaceDN w:val="0"/>
              <w:adjustRightInd w:val="0"/>
              <w:rPr>
                <w:rFonts w:eastAsiaTheme="minorEastAsia"/>
                <w:szCs w:val="16"/>
              </w:rPr>
            </w:pPr>
          </w:p>
          <w:p w14:paraId="6E8519FA" w14:textId="77777777" w:rsidR="00585B8E" w:rsidRPr="00585B8E" w:rsidRDefault="00585B8E" w:rsidP="00585B8E">
            <w:pPr>
              <w:widowControl w:val="0"/>
              <w:autoSpaceDE w:val="0"/>
              <w:autoSpaceDN w:val="0"/>
              <w:adjustRightInd w:val="0"/>
              <w:rPr>
                <w:rFonts w:eastAsiaTheme="minorEastAsia"/>
                <w:szCs w:val="16"/>
              </w:rPr>
            </w:pPr>
          </w:p>
        </w:tc>
        <w:tc>
          <w:tcPr>
            <w:tcW w:w="6521" w:type="dxa"/>
          </w:tcPr>
          <w:p w14:paraId="034285CF"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Данный конструктор геометрически вымерен. Все размеры </w:t>
            </w:r>
            <w:proofErr w:type="gramStart"/>
            <w:r w:rsidRPr="00585B8E">
              <w:rPr>
                <w:rFonts w:eastAsiaTheme="minorEastAsia"/>
                <w:szCs w:val="16"/>
              </w:rPr>
              <w:t>деталей  конструктора</w:t>
            </w:r>
            <w:proofErr w:type="gramEnd"/>
            <w:r w:rsidRPr="00585B8E">
              <w:rPr>
                <w:rFonts w:eastAsiaTheme="minorEastAsia"/>
                <w:szCs w:val="16"/>
              </w:rPr>
              <w:t xml:space="preserve"> должны иметь друг к другу четкое соотношение. Допустимые соотношения размеров 0,5:</w:t>
            </w:r>
            <w:proofErr w:type="gramStart"/>
            <w:r w:rsidRPr="00585B8E">
              <w:rPr>
                <w:rFonts w:eastAsiaTheme="minorEastAsia"/>
                <w:szCs w:val="16"/>
              </w:rPr>
              <w:t>1;  1</w:t>
            </w:r>
            <w:proofErr w:type="gramEnd"/>
            <w:r w:rsidRPr="00585B8E">
              <w:rPr>
                <w:rFonts w:eastAsiaTheme="minorEastAsia"/>
                <w:szCs w:val="16"/>
              </w:rPr>
              <w:t>:</w:t>
            </w:r>
            <w:proofErr w:type="gramStart"/>
            <w:r w:rsidRPr="00585B8E">
              <w:rPr>
                <w:rFonts w:eastAsiaTheme="minorEastAsia"/>
                <w:szCs w:val="16"/>
              </w:rPr>
              <w:t>1;  2</w:t>
            </w:r>
            <w:proofErr w:type="gramEnd"/>
            <w:r w:rsidRPr="00585B8E">
              <w:rPr>
                <w:rFonts w:eastAsiaTheme="minorEastAsia"/>
                <w:szCs w:val="16"/>
              </w:rPr>
              <w:t>:</w:t>
            </w:r>
            <w:proofErr w:type="gramStart"/>
            <w:r w:rsidRPr="00585B8E">
              <w:rPr>
                <w:rFonts w:eastAsiaTheme="minorEastAsia"/>
                <w:szCs w:val="16"/>
              </w:rPr>
              <w:t>1;  3</w:t>
            </w:r>
            <w:proofErr w:type="gramEnd"/>
            <w:r w:rsidRPr="00585B8E">
              <w:rPr>
                <w:rFonts w:eastAsiaTheme="minorEastAsia"/>
                <w:szCs w:val="16"/>
              </w:rPr>
              <w:t>:1; 4:1</w:t>
            </w:r>
          </w:p>
          <w:p w14:paraId="2A13FE9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Набор должен быть один и представлять из себя единое коробочное решение для удобства хранения и переноса набора. Не допускаются к поставке составные элементы из двух наборов. </w:t>
            </w:r>
          </w:p>
          <w:p w14:paraId="5C1A96A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из дерева не менее 40 шт. </w:t>
            </w:r>
          </w:p>
          <w:p w14:paraId="0312BDE5"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конструктивные элементы, представляющие из себя куб должны быть размером не менее 5х5х5 см</w:t>
            </w:r>
          </w:p>
          <w:p w14:paraId="010BAE45"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куб без технологических отверстий не менее 2 шт.</w:t>
            </w:r>
          </w:p>
          <w:p w14:paraId="382949C3"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конструктивные элементы, представляющие из себя прямоугольный параллелепипед без технологических отверстий, должны быть размером не менее 2,5х5х5 см. Допускаются только элементы в соотношении 0,</w:t>
            </w:r>
            <w:proofErr w:type="gramStart"/>
            <w:r w:rsidRPr="00585B8E">
              <w:rPr>
                <w:rFonts w:eastAsiaTheme="minorEastAsia"/>
                <w:szCs w:val="16"/>
              </w:rPr>
              <w:t>5 :</w:t>
            </w:r>
            <w:proofErr w:type="gramEnd"/>
            <w:r w:rsidRPr="00585B8E">
              <w:rPr>
                <w:rFonts w:eastAsiaTheme="minorEastAsia"/>
                <w:szCs w:val="16"/>
              </w:rPr>
              <w:t xml:space="preserve"> </w:t>
            </w:r>
            <w:proofErr w:type="gramStart"/>
            <w:r w:rsidRPr="00585B8E">
              <w:rPr>
                <w:rFonts w:eastAsiaTheme="minorEastAsia"/>
                <w:szCs w:val="16"/>
              </w:rPr>
              <w:t>1  к</w:t>
            </w:r>
            <w:proofErr w:type="gramEnd"/>
            <w:r w:rsidRPr="00585B8E">
              <w:rPr>
                <w:rFonts w:eastAsiaTheme="minorEastAsia"/>
                <w:szCs w:val="16"/>
              </w:rPr>
              <w:t xml:space="preserve"> кубическому элементу по высоте. </w:t>
            </w:r>
          </w:p>
          <w:p w14:paraId="22FF8D43"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прямоугольный параллелепипед без технологических отверстий не менее 4 шт.</w:t>
            </w:r>
          </w:p>
          <w:p w14:paraId="40DAF864"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конструктивные элементы, представляющие из себя цилиндр без технологических отверстий, должны быть размером диаметр не менее 5 см, высота не менее 2,5 см.</w:t>
            </w:r>
          </w:p>
          <w:p w14:paraId="2B77DEE2"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цилиндр без технологических отверстий не менее 4 шт.</w:t>
            </w:r>
          </w:p>
          <w:p w14:paraId="30AE53AD"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конструктивные элементы, представляющие из себя половинку цилиндра без технологических отверстий, должны быть размером радиус не менее 2,5 см, высота не менее 5 см. Количество таких элементов не менее 2 шт. </w:t>
            </w:r>
          </w:p>
          <w:p w14:paraId="2ACCE9F1"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Все конструктивные элементы, представляющие из себя половинку куба в форме равностороннего треугольника, размер сторон не менее 5 см. На одной из сторон должен находиться прямой желоб. Количество таких элементов не менее 2 шт. </w:t>
            </w:r>
          </w:p>
          <w:p w14:paraId="12379114"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в форме куба с прямыми желобами на противоположных гранях (сверху и снизу) и параллельный для одной из граней с желобом и перпендикулярный для другой прямой тоннель посередине не менее 1 шт.</w:t>
            </w:r>
          </w:p>
          <w:p w14:paraId="78C56D8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в форме куба с воронкой на одной из граней, которая переходит в тоннель с выходом на перпендикулярную грань в нижнею часть, но ребра не касается, не менее 3 шт.</w:t>
            </w:r>
          </w:p>
          <w:p w14:paraId="4907B5E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в форме куба в виде глубокого желоба, который начинается с ребра верхней грани и выходит в центре перпендикулярной грани, образуя своей формой горку. На двух перпендикулярных ребрах, ребру с которого начинается горка находятся желоба, по которым также можно спуститься на горку не менее 2 шт.</w:t>
            </w:r>
          </w:p>
          <w:p w14:paraId="47DA1B1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должны соответствовать размеру прямоугольного параллелепипеда без технологических отверстий. На верхней большой грани </w:t>
            </w:r>
            <w:r w:rsidRPr="00585B8E">
              <w:rPr>
                <w:rFonts w:eastAsiaTheme="minorEastAsia"/>
                <w:szCs w:val="16"/>
              </w:rPr>
              <w:lastRenderedPageBreak/>
              <w:t>прямоугольного параллелепипеда находится прямой желоб не менее 2 шт.</w:t>
            </w:r>
          </w:p>
          <w:p w14:paraId="154DEF5D"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прямоугольный параллелепипед, должны соответствовать размеру прямоугольного параллелепипеда без технологических отверстий. На верхней большой грани прямоугольного параллелепипеда находится изогнутый желоб, соединяющий центры перпендикулярных ребер не менее 4 шт.</w:t>
            </w:r>
          </w:p>
          <w:p w14:paraId="69E48A7D"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прямоугольный параллелепипед должны соответствовать размеру прямоугольного параллелепипеда без технологических отверстий на верхней большой грани прямоугольного параллелепипеда находятся два прямых желоба перпендикулярных друг другу (крест на крест) не менее 1 шт.</w:t>
            </w:r>
          </w:p>
          <w:p w14:paraId="7FA1D717"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представляющие из себя прямоугольный параллелепипед должны соответствовать размеру прямоугольного параллелепипеда без технологических отверстий на верхней большой грани прямоугольного параллелепипеда находится прямой желоб. Желоб доходит только до середины грани и касается только одного ребра, образуя маленькую горку не менее 2 шт.</w:t>
            </w:r>
          </w:p>
          <w:p w14:paraId="7EC58CF4"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с размерами не менее </w:t>
            </w:r>
            <w:proofErr w:type="spellStart"/>
            <w:r w:rsidRPr="00585B8E">
              <w:rPr>
                <w:rFonts w:eastAsiaTheme="minorEastAsia"/>
                <w:szCs w:val="16"/>
              </w:rPr>
              <w:t>ВхДхШ</w:t>
            </w:r>
            <w:proofErr w:type="spellEnd"/>
            <w:r w:rsidRPr="00585B8E">
              <w:rPr>
                <w:rFonts w:eastAsiaTheme="minorEastAsia"/>
                <w:szCs w:val="16"/>
              </w:rPr>
              <w:t xml:space="preserve"> не менее 2,5х10х5 см имеют изогнутый желоб в виде дуги по всей длине прямоугольный параллелепипеда, желоб касается только одной грани не менее 2 шт.</w:t>
            </w:r>
          </w:p>
          <w:p w14:paraId="7BBD79BA"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с размерами не менее </w:t>
            </w:r>
            <w:proofErr w:type="spellStart"/>
            <w:r w:rsidRPr="00585B8E">
              <w:rPr>
                <w:rFonts w:eastAsiaTheme="minorEastAsia"/>
                <w:szCs w:val="16"/>
              </w:rPr>
              <w:t>ВхДхШ</w:t>
            </w:r>
            <w:proofErr w:type="spellEnd"/>
            <w:r w:rsidRPr="00585B8E">
              <w:rPr>
                <w:rFonts w:eastAsiaTheme="minorEastAsia"/>
                <w:szCs w:val="16"/>
              </w:rPr>
              <w:t xml:space="preserve"> не менее 2,5х10х5 см имеют прямой желоб по всей длине прямоугольный параллелепипеда, желоб соединяет два параллельных ребра длинной грани не менее 2 шт.</w:t>
            </w:r>
          </w:p>
          <w:p w14:paraId="2EF3D5F9"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с размерами не менее </w:t>
            </w:r>
            <w:proofErr w:type="spellStart"/>
            <w:r w:rsidRPr="00585B8E">
              <w:rPr>
                <w:rFonts w:eastAsiaTheme="minorEastAsia"/>
                <w:szCs w:val="16"/>
              </w:rPr>
              <w:t>ВхДхШ</w:t>
            </w:r>
            <w:proofErr w:type="spellEnd"/>
            <w:r w:rsidRPr="00585B8E">
              <w:rPr>
                <w:rFonts w:eastAsiaTheme="minorEastAsia"/>
                <w:szCs w:val="16"/>
              </w:rPr>
              <w:t xml:space="preserve"> не менее 2,5х15х5 см имеют прямой желоб по всей длине прямоугольного параллелепипеда  не менее 2 шт.</w:t>
            </w:r>
          </w:p>
          <w:p w14:paraId="5B647F9B"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с размерами не менее </w:t>
            </w:r>
            <w:proofErr w:type="spellStart"/>
            <w:r w:rsidRPr="00585B8E">
              <w:rPr>
                <w:rFonts w:eastAsiaTheme="minorEastAsia"/>
                <w:szCs w:val="16"/>
              </w:rPr>
              <w:t>ВхДхШ</w:t>
            </w:r>
            <w:proofErr w:type="spellEnd"/>
            <w:r w:rsidRPr="00585B8E">
              <w:rPr>
                <w:rFonts w:eastAsiaTheme="minorEastAsia"/>
                <w:szCs w:val="16"/>
              </w:rPr>
              <w:t xml:space="preserve"> не менее 2,5х15х5 см имеют изгибистый желоб в виде синусоиды по всей длине прямоугольного параллелепипеда, желоб соединяет два параллельных ребра длинной грани не менее 1 шт.</w:t>
            </w:r>
          </w:p>
          <w:p w14:paraId="39804875"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 xml:space="preserve">Конструктивные элементы, представляющие из себя прямоугольный параллелепипед с размерами не менее </w:t>
            </w:r>
            <w:proofErr w:type="spellStart"/>
            <w:r w:rsidRPr="00585B8E">
              <w:rPr>
                <w:rFonts w:eastAsiaTheme="minorEastAsia"/>
                <w:szCs w:val="16"/>
              </w:rPr>
              <w:t>ВхДхШ</w:t>
            </w:r>
            <w:proofErr w:type="spellEnd"/>
            <w:r w:rsidRPr="00585B8E">
              <w:rPr>
                <w:rFonts w:eastAsiaTheme="minorEastAsia"/>
                <w:szCs w:val="16"/>
              </w:rPr>
              <w:t xml:space="preserve"> не менее 2,5х2,0х5 см имеют прямой желоб по всей длине прямоугольного параллелепипеда, желоб соединяет два параллельных ребра длинной грани не менее 1 шт.</w:t>
            </w:r>
          </w:p>
          <w:p w14:paraId="0968809B"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для хранения шариков в виде цилиндрического отверстия в параллелепипеде размерами не менее 2,5х5х</w:t>
            </w:r>
            <w:proofErr w:type="gramStart"/>
            <w:r w:rsidRPr="00585B8E">
              <w:rPr>
                <w:rFonts w:eastAsiaTheme="minorEastAsia"/>
                <w:szCs w:val="16"/>
              </w:rPr>
              <w:t>5  не</w:t>
            </w:r>
            <w:proofErr w:type="gramEnd"/>
            <w:r w:rsidRPr="00585B8E">
              <w:rPr>
                <w:rFonts w:eastAsiaTheme="minorEastAsia"/>
                <w:szCs w:val="16"/>
              </w:rPr>
              <w:t xml:space="preserve"> менее 2 шт.</w:t>
            </w:r>
          </w:p>
          <w:p w14:paraId="091A7475"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Конструктивные элементы с двумя перпендикулярными желобами по середине грани (крест на крест) и внутренним тоннелем, начинающимся с середины этой же грани с желобами и выходящий из середины перпендикулярной грани не менее 1 шт.</w:t>
            </w:r>
          </w:p>
          <w:p w14:paraId="56F25E2E"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Стеклянные шарики не менее 6 шт.</w:t>
            </w:r>
          </w:p>
          <w:p w14:paraId="2B13F4F6"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t>Диаметр стеклянных шариков не менее 16 и не более 17 мм</w:t>
            </w:r>
          </w:p>
          <w:p w14:paraId="37A94A93" w14:textId="77777777" w:rsidR="00585B8E" w:rsidRPr="00585B8E" w:rsidRDefault="00585B8E" w:rsidP="00585B8E">
            <w:pPr>
              <w:widowControl w:val="0"/>
              <w:autoSpaceDE w:val="0"/>
              <w:autoSpaceDN w:val="0"/>
              <w:adjustRightInd w:val="0"/>
              <w:rPr>
                <w:rFonts w:eastAsiaTheme="minorEastAsia"/>
                <w:szCs w:val="16"/>
              </w:rPr>
            </w:pPr>
          </w:p>
        </w:tc>
        <w:tc>
          <w:tcPr>
            <w:tcW w:w="1559" w:type="dxa"/>
          </w:tcPr>
          <w:p w14:paraId="749EAEA2" w14:textId="77777777" w:rsidR="00585B8E" w:rsidRPr="00585B8E" w:rsidRDefault="00585B8E" w:rsidP="00585B8E">
            <w:pPr>
              <w:widowControl w:val="0"/>
              <w:autoSpaceDE w:val="0"/>
              <w:autoSpaceDN w:val="0"/>
              <w:adjustRightInd w:val="0"/>
              <w:rPr>
                <w:rFonts w:eastAsiaTheme="minorEastAsia"/>
                <w:szCs w:val="16"/>
              </w:rPr>
            </w:pPr>
            <w:r w:rsidRPr="00585B8E">
              <w:rPr>
                <w:rFonts w:eastAsiaTheme="minorEastAsia"/>
                <w:szCs w:val="16"/>
              </w:rPr>
              <w:lastRenderedPageBreak/>
              <w:t>4</w:t>
            </w:r>
          </w:p>
        </w:tc>
      </w:tr>
    </w:tbl>
    <w:p w14:paraId="083EDEB3" w14:textId="77777777" w:rsidR="00585B8E" w:rsidRPr="00585B8E" w:rsidRDefault="00585B8E" w:rsidP="00585B8E">
      <w:pPr>
        <w:widowControl w:val="0"/>
        <w:tabs>
          <w:tab w:val="left" w:pos="6852"/>
        </w:tabs>
        <w:autoSpaceDE w:val="0"/>
        <w:autoSpaceDN w:val="0"/>
        <w:adjustRightInd w:val="0"/>
        <w:rPr>
          <w:sz w:val="24"/>
          <w:szCs w:val="24"/>
          <w:lang w:eastAsia="en-US"/>
        </w:rPr>
      </w:pPr>
    </w:p>
    <w:p w14:paraId="35949C69" w14:textId="77777777" w:rsidR="00985225" w:rsidRDefault="00985225" w:rsidP="00E165F9">
      <w:pPr>
        <w:rPr>
          <w:b/>
          <w:sz w:val="22"/>
          <w:szCs w:val="22"/>
        </w:rPr>
      </w:pPr>
    </w:p>
    <w:sectPr w:rsidR="00985225" w:rsidSect="00C40CDF">
      <w:pgSz w:w="11906" w:h="16838"/>
      <w:pgMar w:top="170" w:right="56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204B9"/>
    <w:multiLevelType w:val="hybridMultilevel"/>
    <w:tmpl w:val="D6FC0BB4"/>
    <w:lvl w:ilvl="0" w:tplc="04190001">
      <w:start w:val="3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2CA7D62"/>
    <w:multiLevelType w:val="hybridMultilevel"/>
    <w:tmpl w:val="C30AF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9B33A1"/>
    <w:multiLevelType w:val="hybridMultilevel"/>
    <w:tmpl w:val="0492A798"/>
    <w:lvl w:ilvl="0" w:tplc="03845D26">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3F3644E"/>
    <w:multiLevelType w:val="hybridMultilevel"/>
    <w:tmpl w:val="B1EA07EE"/>
    <w:lvl w:ilvl="0" w:tplc="0419000F">
      <w:start w:val="1"/>
      <w:numFmt w:val="decimal"/>
      <w:lvlText w:val="%1."/>
      <w:lvlJc w:val="left"/>
      <w:pPr>
        <w:ind w:left="808" w:hanging="360"/>
      </w:p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num w:numId="1" w16cid:durableId="353189939">
    <w:abstractNumId w:val="1"/>
  </w:num>
  <w:num w:numId="2" w16cid:durableId="202637367">
    <w:abstractNumId w:val="3"/>
  </w:num>
  <w:num w:numId="3" w16cid:durableId="1599486556">
    <w:abstractNumId w:val="2"/>
  </w:num>
  <w:num w:numId="4" w16cid:durableId="804200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034"/>
    <w:rsid w:val="00016AE9"/>
    <w:rsid w:val="000230A4"/>
    <w:rsid w:val="00032186"/>
    <w:rsid w:val="00073746"/>
    <w:rsid w:val="000772F5"/>
    <w:rsid w:val="00077F74"/>
    <w:rsid w:val="00087C10"/>
    <w:rsid w:val="00092A52"/>
    <w:rsid w:val="00096358"/>
    <w:rsid w:val="000C0F15"/>
    <w:rsid w:val="000D779B"/>
    <w:rsid w:val="000F2DA9"/>
    <w:rsid w:val="000F4C62"/>
    <w:rsid w:val="000F58B6"/>
    <w:rsid w:val="00106248"/>
    <w:rsid w:val="00107783"/>
    <w:rsid w:val="001243DA"/>
    <w:rsid w:val="00142490"/>
    <w:rsid w:val="0015479A"/>
    <w:rsid w:val="001719DC"/>
    <w:rsid w:val="00190BDB"/>
    <w:rsid w:val="00191A38"/>
    <w:rsid w:val="00194DF4"/>
    <w:rsid w:val="00195B42"/>
    <w:rsid w:val="001965B8"/>
    <w:rsid w:val="001A66DA"/>
    <w:rsid w:val="001B5286"/>
    <w:rsid w:val="001D1F9A"/>
    <w:rsid w:val="001F2096"/>
    <w:rsid w:val="00212C2D"/>
    <w:rsid w:val="00213A5D"/>
    <w:rsid w:val="0024005B"/>
    <w:rsid w:val="00256E33"/>
    <w:rsid w:val="00265777"/>
    <w:rsid w:val="002856A6"/>
    <w:rsid w:val="00292F48"/>
    <w:rsid w:val="00294389"/>
    <w:rsid w:val="002A5D9A"/>
    <w:rsid w:val="002A7BD7"/>
    <w:rsid w:val="002B31BC"/>
    <w:rsid w:val="002B7541"/>
    <w:rsid w:val="002D42AC"/>
    <w:rsid w:val="002E5FC3"/>
    <w:rsid w:val="002F5D41"/>
    <w:rsid w:val="003005B1"/>
    <w:rsid w:val="003020DB"/>
    <w:rsid w:val="003324EF"/>
    <w:rsid w:val="00347016"/>
    <w:rsid w:val="00366DE8"/>
    <w:rsid w:val="00372112"/>
    <w:rsid w:val="00374038"/>
    <w:rsid w:val="003943F3"/>
    <w:rsid w:val="003B6193"/>
    <w:rsid w:val="003B70A2"/>
    <w:rsid w:val="003B7355"/>
    <w:rsid w:val="003C404D"/>
    <w:rsid w:val="003F735F"/>
    <w:rsid w:val="004017C6"/>
    <w:rsid w:val="00403C19"/>
    <w:rsid w:val="00412554"/>
    <w:rsid w:val="004226B8"/>
    <w:rsid w:val="00432222"/>
    <w:rsid w:val="00436DA9"/>
    <w:rsid w:val="0044006D"/>
    <w:rsid w:val="00452067"/>
    <w:rsid w:val="004618D0"/>
    <w:rsid w:val="004807AA"/>
    <w:rsid w:val="00482D75"/>
    <w:rsid w:val="00483040"/>
    <w:rsid w:val="00493AF1"/>
    <w:rsid w:val="0049404B"/>
    <w:rsid w:val="004A665A"/>
    <w:rsid w:val="004B77E2"/>
    <w:rsid w:val="004D0B90"/>
    <w:rsid w:val="004E4CA8"/>
    <w:rsid w:val="004E5E5E"/>
    <w:rsid w:val="004F5B96"/>
    <w:rsid w:val="005332BA"/>
    <w:rsid w:val="00535A35"/>
    <w:rsid w:val="005401EE"/>
    <w:rsid w:val="00546F7C"/>
    <w:rsid w:val="00554CCB"/>
    <w:rsid w:val="005636B9"/>
    <w:rsid w:val="00564AD1"/>
    <w:rsid w:val="00581FE6"/>
    <w:rsid w:val="00584C24"/>
    <w:rsid w:val="00585B8E"/>
    <w:rsid w:val="0059594F"/>
    <w:rsid w:val="00596E3D"/>
    <w:rsid w:val="005A6BCB"/>
    <w:rsid w:val="005C4D9F"/>
    <w:rsid w:val="005D1BDF"/>
    <w:rsid w:val="005D1EF5"/>
    <w:rsid w:val="005E6674"/>
    <w:rsid w:val="005F2D07"/>
    <w:rsid w:val="00620B37"/>
    <w:rsid w:val="00623C7B"/>
    <w:rsid w:val="00651C06"/>
    <w:rsid w:val="00654366"/>
    <w:rsid w:val="00663730"/>
    <w:rsid w:val="006655AF"/>
    <w:rsid w:val="006677A7"/>
    <w:rsid w:val="0067539D"/>
    <w:rsid w:val="00675544"/>
    <w:rsid w:val="00681A2B"/>
    <w:rsid w:val="006B0078"/>
    <w:rsid w:val="00700552"/>
    <w:rsid w:val="00704A8F"/>
    <w:rsid w:val="00704D6D"/>
    <w:rsid w:val="007105FD"/>
    <w:rsid w:val="0075012A"/>
    <w:rsid w:val="00781698"/>
    <w:rsid w:val="00796096"/>
    <w:rsid w:val="007B40F2"/>
    <w:rsid w:val="007D2BDD"/>
    <w:rsid w:val="007E13C2"/>
    <w:rsid w:val="007E6D4D"/>
    <w:rsid w:val="007F4A50"/>
    <w:rsid w:val="00800692"/>
    <w:rsid w:val="00802CFD"/>
    <w:rsid w:val="00807E29"/>
    <w:rsid w:val="00826AFF"/>
    <w:rsid w:val="00853B24"/>
    <w:rsid w:val="0086305F"/>
    <w:rsid w:val="0087508A"/>
    <w:rsid w:val="008A47CB"/>
    <w:rsid w:val="008A4E2B"/>
    <w:rsid w:val="008B01B5"/>
    <w:rsid w:val="008B07A8"/>
    <w:rsid w:val="008C4EC3"/>
    <w:rsid w:val="008D3446"/>
    <w:rsid w:val="008D4E68"/>
    <w:rsid w:val="008E1B9A"/>
    <w:rsid w:val="008F23FD"/>
    <w:rsid w:val="00904155"/>
    <w:rsid w:val="009063D2"/>
    <w:rsid w:val="00910BDB"/>
    <w:rsid w:val="00912380"/>
    <w:rsid w:val="00915900"/>
    <w:rsid w:val="009279A1"/>
    <w:rsid w:val="009435DD"/>
    <w:rsid w:val="00952F92"/>
    <w:rsid w:val="00972CE3"/>
    <w:rsid w:val="00974074"/>
    <w:rsid w:val="009756A0"/>
    <w:rsid w:val="00985225"/>
    <w:rsid w:val="009856B6"/>
    <w:rsid w:val="009A0EEA"/>
    <w:rsid w:val="009A629F"/>
    <w:rsid w:val="009A7BEA"/>
    <w:rsid w:val="009C1760"/>
    <w:rsid w:val="009E10B8"/>
    <w:rsid w:val="009F1B3C"/>
    <w:rsid w:val="009F5FCC"/>
    <w:rsid w:val="00A0438E"/>
    <w:rsid w:val="00A17EDF"/>
    <w:rsid w:val="00A231DA"/>
    <w:rsid w:val="00A2323B"/>
    <w:rsid w:val="00A23EAC"/>
    <w:rsid w:val="00A30A24"/>
    <w:rsid w:val="00A4295A"/>
    <w:rsid w:val="00A45E55"/>
    <w:rsid w:val="00A66713"/>
    <w:rsid w:val="00A67494"/>
    <w:rsid w:val="00A67B29"/>
    <w:rsid w:val="00A7412D"/>
    <w:rsid w:val="00A81101"/>
    <w:rsid w:val="00A8614A"/>
    <w:rsid w:val="00A879FF"/>
    <w:rsid w:val="00AA6034"/>
    <w:rsid w:val="00AD246E"/>
    <w:rsid w:val="00AD5930"/>
    <w:rsid w:val="00AD6913"/>
    <w:rsid w:val="00AE0FEF"/>
    <w:rsid w:val="00AF0309"/>
    <w:rsid w:val="00B14AC3"/>
    <w:rsid w:val="00B16CA3"/>
    <w:rsid w:val="00B22C1F"/>
    <w:rsid w:val="00B23D6E"/>
    <w:rsid w:val="00B23DA9"/>
    <w:rsid w:val="00B2754C"/>
    <w:rsid w:val="00B31DA0"/>
    <w:rsid w:val="00B402E7"/>
    <w:rsid w:val="00B40786"/>
    <w:rsid w:val="00B51766"/>
    <w:rsid w:val="00B54DA3"/>
    <w:rsid w:val="00B6156B"/>
    <w:rsid w:val="00B63C6A"/>
    <w:rsid w:val="00B72D8B"/>
    <w:rsid w:val="00B75A8C"/>
    <w:rsid w:val="00B83120"/>
    <w:rsid w:val="00B86FD4"/>
    <w:rsid w:val="00B90CE5"/>
    <w:rsid w:val="00B910AC"/>
    <w:rsid w:val="00BE4405"/>
    <w:rsid w:val="00C13D61"/>
    <w:rsid w:val="00C22D70"/>
    <w:rsid w:val="00C272BA"/>
    <w:rsid w:val="00C34036"/>
    <w:rsid w:val="00C40CDF"/>
    <w:rsid w:val="00C43644"/>
    <w:rsid w:val="00C45C35"/>
    <w:rsid w:val="00C50DD7"/>
    <w:rsid w:val="00C54D5E"/>
    <w:rsid w:val="00C812F1"/>
    <w:rsid w:val="00C83957"/>
    <w:rsid w:val="00C85CE1"/>
    <w:rsid w:val="00C85D63"/>
    <w:rsid w:val="00C92A87"/>
    <w:rsid w:val="00C93690"/>
    <w:rsid w:val="00C95DE1"/>
    <w:rsid w:val="00CA07E6"/>
    <w:rsid w:val="00CA18C7"/>
    <w:rsid w:val="00CB2B9B"/>
    <w:rsid w:val="00CC1781"/>
    <w:rsid w:val="00CD36A8"/>
    <w:rsid w:val="00CD3B54"/>
    <w:rsid w:val="00CD5C73"/>
    <w:rsid w:val="00CD677A"/>
    <w:rsid w:val="00CE496B"/>
    <w:rsid w:val="00CE615B"/>
    <w:rsid w:val="00CF616E"/>
    <w:rsid w:val="00D174D2"/>
    <w:rsid w:val="00D33499"/>
    <w:rsid w:val="00D33A17"/>
    <w:rsid w:val="00D57451"/>
    <w:rsid w:val="00D62E70"/>
    <w:rsid w:val="00D647A1"/>
    <w:rsid w:val="00D739E6"/>
    <w:rsid w:val="00DB3F62"/>
    <w:rsid w:val="00DC254C"/>
    <w:rsid w:val="00DC4E75"/>
    <w:rsid w:val="00DD2EE0"/>
    <w:rsid w:val="00DE4391"/>
    <w:rsid w:val="00DE689F"/>
    <w:rsid w:val="00DE6DE1"/>
    <w:rsid w:val="00E0010D"/>
    <w:rsid w:val="00E04EC5"/>
    <w:rsid w:val="00E165F9"/>
    <w:rsid w:val="00E16DFB"/>
    <w:rsid w:val="00E26149"/>
    <w:rsid w:val="00E27FC8"/>
    <w:rsid w:val="00E4243C"/>
    <w:rsid w:val="00E46CA2"/>
    <w:rsid w:val="00E52F31"/>
    <w:rsid w:val="00E54154"/>
    <w:rsid w:val="00E64E8A"/>
    <w:rsid w:val="00E675D9"/>
    <w:rsid w:val="00E75604"/>
    <w:rsid w:val="00E85ED2"/>
    <w:rsid w:val="00E96D52"/>
    <w:rsid w:val="00EA011F"/>
    <w:rsid w:val="00EA7CF8"/>
    <w:rsid w:val="00EC51DA"/>
    <w:rsid w:val="00EC6D8C"/>
    <w:rsid w:val="00EE2458"/>
    <w:rsid w:val="00EE4BA3"/>
    <w:rsid w:val="00F16FE5"/>
    <w:rsid w:val="00F276C3"/>
    <w:rsid w:val="00F27CDB"/>
    <w:rsid w:val="00F31EB8"/>
    <w:rsid w:val="00F3468D"/>
    <w:rsid w:val="00F72902"/>
    <w:rsid w:val="00F802F5"/>
    <w:rsid w:val="00F81B8E"/>
    <w:rsid w:val="00F916E6"/>
    <w:rsid w:val="00F96472"/>
    <w:rsid w:val="00FB4647"/>
    <w:rsid w:val="00FC0046"/>
    <w:rsid w:val="00FE579F"/>
    <w:rsid w:val="00FF601C"/>
    <w:rsid w:val="00FF6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F80A5"/>
  <w15:docId w15:val="{25849FF1-B0A1-49AA-B335-F1DFE7C05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65F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mi-callto">
    <w:name w:val="wmi-callto"/>
    <w:rsid w:val="00E165F9"/>
  </w:style>
  <w:style w:type="paragraph" w:styleId="a3">
    <w:name w:val="Balloon Text"/>
    <w:basedOn w:val="a"/>
    <w:link w:val="a4"/>
    <w:uiPriority w:val="99"/>
    <w:semiHidden/>
    <w:unhideWhenUsed/>
    <w:rsid w:val="00E165F9"/>
    <w:rPr>
      <w:rFonts w:ascii="Tahoma" w:hAnsi="Tahoma" w:cs="Tahoma"/>
      <w:sz w:val="16"/>
      <w:szCs w:val="16"/>
    </w:rPr>
  </w:style>
  <w:style w:type="character" w:customStyle="1" w:styleId="a4">
    <w:name w:val="Текст выноски Знак"/>
    <w:basedOn w:val="a0"/>
    <w:link w:val="a3"/>
    <w:uiPriority w:val="99"/>
    <w:semiHidden/>
    <w:rsid w:val="00E165F9"/>
    <w:rPr>
      <w:rFonts w:ascii="Tahoma" w:eastAsia="Times New Roman" w:hAnsi="Tahoma" w:cs="Tahoma"/>
      <w:sz w:val="16"/>
      <w:szCs w:val="16"/>
      <w:lang w:eastAsia="ru-RU"/>
    </w:rPr>
  </w:style>
  <w:style w:type="paragraph" w:styleId="a5">
    <w:name w:val="List Paragraph"/>
    <w:basedOn w:val="a"/>
    <w:uiPriority w:val="34"/>
    <w:qFormat/>
    <w:rsid w:val="0024005B"/>
    <w:pPr>
      <w:spacing w:after="200" w:line="276" w:lineRule="auto"/>
      <w:ind w:left="720"/>
      <w:contextualSpacing/>
    </w:pPr>
    <w:rPr>
      <w:rFonts w:ascii="Calibri" w:eastAsia="Calibri" w:hAnsi="Calibri"/>
      <w:sz w:val="22"/>
      <w:szCs w:val="22"/>
      <w:lang w:eastAsia="en-US"/>
    </w:rPr>
  </w:style>
  <w:style w:type="table" w:customStyle="1" w:styleId="TableNormal">
    <w:name w:val="Table Normal"/>
    <w:uiPriority w:val="2"/>
    <w:semiHidden/>
    <w:unhideWhenUsed/>
    <w:qFormat/>
    <w:rsid w:val="005A6B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A6BCB"/>
    <w:pPr>
      <w:widowControl w:val="0"/>
      <w:autoSpaceDE w:val="0"/>
      <w:autoSpaceDN w:val="0"/>
    </w:pPr>
    <w:rPr>
      <w:sz w:val="22"/>
      <w:szCs w:val="22"/>
      <w:lang w:eastAsia="en-US"/>
    </w:rPr>
  </w:style>
  <w:style w:type="table" w:styleId="a6">
    <w:name w:val="Table Grid"/>
    <w:basedOn w:val="a1"/>
    <w:uiPriority w:val="39"/>
    <w:rsid w:val="00974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985225"/>
    <w:rPr>
      <w:color w:val="0000FF" w:themeColor="hyperlink"/>
      <w:u w:val="single"/>
    </w:rPr>
  </w:style>
  <w:style w:type="character" w:styleId="a8">
    <w:name w:val="Unresolved Mention"/>
    <w:basedOn w:val="a0"/>
    <w:uiPriority w:val="99"/>
    <w:semiHidden/>
    <w:unhideWhenUsed/>
    <w:rsid w:val="00985225"/>
    <w:rPr>
      <w:color w:val="605E5C"/>
      <w:shd w:val="clear" w:color="auto" w:fill="E1DFDD"/>
    </w:rPr>
  </w:style>
  <w:style w:type="table" w:customStyle="1" w:styleId="1">
    <w:name w:val="Сетка таблицы1"/>
    <w:basedOn w:val="a1"/>
    <w:next w:val="a6"/>
    <w:uiPriority w:val="39"/>
    <w:rsid w:val="009F1B3C"/>
    <w:pPr>
      <w:spacing w:after="0" w:line="240" w:lineRule="auto"/>
    </w:pPr>
    <w:rPr>
      <w:rFonts w:ascii="Times New Roman"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585B8E"/>
    <w:pPr>
      <w:spacing w:after="0" w:line="240" w:lineRule="auto"/>
    </w:pPr>
    <w:rPr>
      <w:rFonts w:ascii="Times New Roman"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02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3</Pages>
  <Words>1641</Words>
  <Characters>9355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Маша К</cp:lastModifiedBy>
  <cp:revision>106</cp:revision>
  <cp:lastPrinted>2024-01-11T09:13:00Z</cp:lastPrinted>
  <dcterms:created xsi:type="dcterms:W3CDTF">2025-04-08T14:41:00Z</dcterms:created>
  <dcterms:modified xsi:type="dcterms:W3CDTF">2026-07-28T08:10:00Z</dcterms:modified>
</cp:coreProperties>
</file>