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ПРОЕКТ КОНТРАКТА</w:t>
      </w: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 </w:t>
      </w:r>
      <w:r/>
    </w:p>
    <w:p>
      <w:pPr>
        <w:jc w:val="right"/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КОНТРАКТ №____</w:t>
      </w:r>
      <w:r/>
    </w:p>
    <w:p>
      <w:pPr>
        <w:jc w:val="center"/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ИКЗ</w:t>
      </w: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 ________________</w:t>
      </w:r>
      <w:r/>
    </w:p>
    <w:p>
      <w:pPr>
        <w:jc w:val="center"/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г.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Санкт-Петербург                                                                              «__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__» ____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__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____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_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_ 2024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г.</w:t>
      </w:r>
      <w:r/>
    </w:p>
    <w:p>
      <w:pPr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r>
      <w:r/>
    </w:p>
    <w:p>
      <w:pPr>
        <w:pStyle w:val="873"/>
        <w:ind w:firstLine="720"/>
        <w:rPr>
          <w:b/>
          <w:sz w:val="22"/>
          <w:szCs w:val="22"/>
        </w:rPr>
      </w:pPr>
      <w:r>
        <w:rPr>
          <w:b/>
          <w:sz w:val="22"/>
          <w:szCs w:val="22"/>
        </w:rPr>
      </w:r>
      <w:r/>
    </w:p>
    <w:p>
      <w:pPr>
        <w:pStyle w:val="873"/>
        <w:ind w:firstLine="720"/>
        <w:rPr>
          <w:sz w:val="22"/>
          <w:szCs w:val="22"/>
        </w:rPr>
      </w:pPr>
      <w:r>
        <w:rPr>
          <w:sz w:val="22"/>
          <w:szCs w:val="22"/>
          <w:lang w:bidi="ru-RU"/>
        </w:rPr>
        <w:t xml:space="preserve">ГБОУ школа-интернат №68 Санкт-Петербурга</w:t>
      </w:r>
      <w:r>
        <w:rPr>
          <w:sz w:val="22"/>
          <w:szCs w:val="22"/>
        </w:rPr>
        <w:t xml:space="preserve">, именуемое в дальнейшем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Заказчик</w:t>
      </w:r>
      <w:r>
        <w:rPr>
          <w:sz w:val="22"/>
          <w:szCs w:val="22"/>
        </w:rPr>
        <w:t xml:space="preserve">»</w:t>
      </w:r>
      <w:r>
        <w:rPr>
          <w:sz w:val="22"/>
          <w:szCs w:val="22"/>
        </w:rPr>
        <w:t xml:space="preserve">, в лице исполняющего обязанности директора </w:t>
      </w:r>
      <w:r>
        <w:rPr>
          <w:sz w:val="22"/>
          <w:szCs w:val="22"/>
        </w:rPr>
        <w:t xml:space="preserve">Ефимовой Ольги Сергеевны</w:t>
      </w:r>
      <w:r>
        <w:rPr>
          <w:sz w:val="22"/>
          <w:szCs w:val="22"/>
        </w:rPr>
        <w:t xml:space="preserve">, действующей</w:t>
      </w:r>
      <w:r>
        <w:rPr>
          <w:sz w:val="22"/>
          <w:szCs w:val="22"/>
        </w:rPr>
        <w:t xml:space="preserve"> на основании Устава</w:t>
      </w:r>
      <w:r>
        <w:rPr>
          <w:sz w:val="22"/>
          <w:szCs w:val="22"/>
        </w:rPr>
        <w:t xml:space="preserve">, с одной ст</w:t>
      </w:r>
      <w:r>
        <w:rPr>
          <w:sz w:val="22"/>
          <w:szCs w:val="22"/>
        </w:rPr>
        <w:t xml:space="preserve">ороны, и _____________________</w:t>
      </w:r>
      <w:r>
        <w:rPr>
          <w:sz w:val="22"/>
          <w:szCs w:val="22"/>
        </w:rPr>
        <w:t xml:space="preserve">, именуемое в дальнейшем «Поставщик», в лице ______________________, действующего на основан</w:t>
      </w:r>
      <w:r>
        <w:rPr>
          <w:sz w:val="22"/>
          <w:szCs w:val="22"/>
        </w:rPr>
        <w:t xml:space="preserve">ии ____________</w:t>
      </w:r>
      <w:r>
        <w:rPr>
          <w:sz w:val="22"/>
          <w:szCs w:val="22"/>
        </w:rPr>
        <w:t xml:space="preserve">, с другой стороны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вместе именуемые Стороны, </w:t>
      </w:r>
      <w:r>
        <w:rPr>
          <w:sz w:val="22"/>
          <w:szCs w:val="22"/>
        </w:rPr>
        <w:t xml:space="preserve">заключили настоящий </w:t>
      </w:r>
      <w:r>
        <w:rPr>
          <w:sz w:val="22"/>
          <w:szCs w:val="22"/>
        </w:rPr>
        <w:t xml:space="preserve">контракт о</w:t>
      </w:r>
      <w:r>
        <w:rPr>
          <w:sz w:val="22"/>
          <w:szCs w:val="22"/>
        </w:rPr>
        <w:t xml:space="preserve"> нижеследующем:</w:t>
      </w:r>
      <w:r/>
    </w:p>
    <w:p>
      <w:pPr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r>
      <w:r/>
    </w:p>
    <w:p>
      <w:pPr>
        <w:contextualSpacing/>
        <w:ind w:left="720"/>
        <w:jc w:val="center"/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1. Предмет контракта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1.1. Поставщи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к обязуется поставить Заказчику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аттестаты и приложения об основном общем образовании для ГБОУ </w:t>
      </w:r>
      <w:r>
        <w:rPr>
          <w:rFonts w:ascii="Times New Roman" w:hAnsi="Times New Roman"/>
          <w:sz w:val="22"/>
          <w:szCs w:val="22"/>
        </w:rPr>
        <w:t xml:space="preserve">школа-интернат № 68 </w:t>
      </w:r>
      <w:r>
        <w:rPr>
          <w:rFonts w:ascii="Times New Roman" w:hAnsi="Times New Roman"/>
          <w:sz w:val="22"/>
          <w:szCs w:val="22"/>
        </w:rPr>
        <w:t xml:space="preserve">Санкт-Петербурга в 2023 году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 w:eastAsia="en-US"/>
        </w:rPr>
        <w:t xml:space="preserve">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 w:eastAsia="en-US"/>
        </w:rPr>
        <w:t xml:space="preserve">(далее - товар)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согласно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Расчету поставки товара (Приложение № 1 к контракту) и </w:t>
      </w:r>
      <w:r>
        <w:rPr>
          <w:rFonts w:ascii="Times New Roman" w:hAnsi="Times New Roman" w:cs="Times New Roman" w:eastAsia="SimSun"/>
          <w:color w:val="auto"/>
          <w:sz w:val="22"/>
          <w:szCs w:val="22"/>
          <w:lang w:bidi="ar-SA"/>
        </w:rPr>
        <w:t xml:space="preserve">Техническому заданию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(Приложение № 2 к контракту).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2.Срок поставки товара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2.1.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Срок поставки: с даты подписания Контракта Сторонами </w:t>
      </w:r>
      <w:r>
        <w:rPr>
          <w:rFonts w:ascii="Times New Roman" w:hAnsi="Times New Roman" w:cs="Times New Roman"/>
          <w:sz w:val="22"/>
          <w:szCs w:val="22"/>
        </w:rPr>
        <w:t xml:space="preserve">в срок до 15.04.2024</w:t>
      </w:r>
      <w:r>
        <w:rPr>
          <w:rFonts w:ascii="Times New Roman" w:hAnsi="Times New Roman" w:cs="Times New Roman"/>
          <w:sz w:val="22"/>
          <w:szCs w:val="22"/>
        </w:rPr>
        <w:t xml:space="preserve"> г.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Cs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  <w:t xml:space="preserve">3. Цена контракта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3.1.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Цена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контракта составляет </w:t>
      </w: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_______</w:t>
      </w: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 (</w:t>
      </w: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_______________</w:t>
      </w: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),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cs="Times New Roman" w:eastAsia="Times New Roman"/>
          <w:color w:val="C00000"/>
          <w:sz w:val="22"/>
          <w:szCs w:val="22"/>
          <w:lang w:bidi="ar-SA"/>
        </w:rPr>
        <w:t xml:space="preserve">в </w:t>
      </w:r>
      <w:r>
        <w:rPr>
          <w:rFonts w:ascii="Times New Roman" w:hAnsi="Times New Roman" w:cs="Times New Roman" w:eastAsia="Times New Roman"/>
          <w:color w:val="C00000"/>
          <w:sz w:val="22"/>
          <w:szCs w:val="22"/>
          <w:lang w:bidi="ar-SA"/>
        </w:rPr>
        <w:t xml:space="preserve">т.ч</w:t>
      </w:r>
      <w:r>
        <w:rPr>
          <w:rFonts w:ascii="Times New Roman" w:hAnsi="Times New Roman" w:cs="Times New Roman" w:eastAsia="Times New Roman"/>
          <w:color w:val="C00000"/>
          <w:sz w:val="22"/>
          <w:szCs w:val="22"/>
          <w:lang w:bidi="ar-SA"/>
        </w:rPr>
        <w:t xml:space="preserve">. НДС</w:t>
      </w:r>
      <w:r>
        <w:rPr>
          <w:rStyle w:val="916"/>
          <w:rFonts w:ascii="Times New Roman" w:hAnsi="Times New Roman" w:cs="Times New Roman" w:eastAsia="Times New Roman"/>
          <w:color w:val="C00000"/>
          <w:sz w:val="22"/>
          <w:szCs w:val="22"/>
          <w:lang w:bidi="ar-SA"/>
        </w:rPr>
        <w:footnoteReference w:customMarkFollows="1" w:id="2"/>
        <w:t xml:space="preserve">*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, в соответствии с Приложением № 1.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3.2. Цена контракта является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твердой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на весь срок действия контракта и изменению не подлежит, за исключением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случаев,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предусмотренных действующим законодательством.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3.3.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В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се расходы с учетом стоимости товара, на доставку товара, страхование, уплату таможенных пошлин, налогов и других обязательных платежей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входят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в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цен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у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контракта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3.4. Авансирование не предусмотрено.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3.5.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3.6.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Источник финансирования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-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z w:val="22"/>
          <w:szCs w:val="22"/>
          <w:lang w:bidi="ar-SA"/>
        </w:rPr>
        <w:t xml:space="preserve">Внебюджетные средства, Средства бюджетных учреждений, код раздела 0702, код целевой статьи 02500020060, код вида расходов 244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, </w:t>
      </w:r>
      <w:r>
        <w:rPr>
          <w:rFonts w:ascii="Times New Roman" w:hAnsi="Times New Roman" w:cs="Times New Roman" w:eastAsia="Times New Roman"/>
          <w:i/>
          <w:color w:val="auto"/>
          <w:sz w:val="22"/>
          <w:szCs w:val="22"/>
          <w:lang w:bidi="ar-SA"/>
        </w:rPr>
        <w:t xml:space="preserve">код ОСГУ 349</w:t>
      </w:r>
      <w:r>
        <w:rPr>
          <w:rFonts w:ascii="Times New Roman" w:hAnsi="Times New Roman" w:cs="Times New Roman" w:eastAsia="Times New Roman"/>
          <w:i/>
          <w:color w:val="auto"/>
          <w:sz w:val="22"/>
          <w:szCs w:val="22"/>
          <w:lang w:bidi="ar-SA"/>
        </w:rPr>
        <w:t xml:space="preserve">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r>
      <w:r/>
    </w:p>
    <w:p>
      <w:pPr>
        <w:ind w:left="720"/>
        <w:jc w:val="center"/>
        <w:widowControl/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  <w:t xml:space="preserve">4. Порядок расчетов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4.1. Заказчик производит оплату после получения товара путем перечисления денежных средств на расчет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ный счет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Поставщика в течение 10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(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десяти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)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рабочих дней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с даты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подписа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ния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накладной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основ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ании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счета и счет-фактуры</w:t>
      </w:r>
      <w:r>
        <w:rPr>
          <w:rStyle w:val="916"/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footnoteReference w:customMarkFollows="1" w:id="3"/>
        <w:t xml:space="preserve">**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r>
      <w:r/>
    </w:p>
    <w:p>
      <w:pPr>
        <w:ind w:left="1171"/>
        <w:jc w:val="center"/>
        <w:widowControl/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  <w:t xml:space="preserve">5. Права и обязанности сторон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5.1. </w:t>
      </w: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Заказчик обязан: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993300"/>
          <w:sz w:val="22"/>
          <w:szCs w:val="22"/>
          <w:lang w:bidi="ar-SA"/>
        </w:rPr>
        <w:t xml:space="preserve">5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.1.1. Оплатить поставку товара в порядке, указанном в п. 4.1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настоящего контракта.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5.1.2. Провести своими силами приемку товара, включающую экспертизу результатов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поставки, на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соответствие количества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, объема и качества требованиям, установленным в контракте и оформить результаты такой приемки.   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5.2. </w:t>
      </w: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Заказчик вправе: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5.2.1.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Запрашивать у Поставщика финансовые отчеты соисполнителей с приложениями заверенных копий всех первичных документов.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5.3. Поставщик обязан: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5.3.1.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Поставить товар надлежащего качества в комплекте с документацией с сопроводительным письмом: счет, счет-фактур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у</w:t>
      </w:r>
      <w:r>
        <w:rPr>
          <w:rStyle w:val="916"/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footnoteReference w:customMarkFollows="1" w:id="4"/>
        <w:t xml:space="preserve">*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, акт передачи и накладн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ая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, оформленные в соответствии с Приложением №1 к настоящему контракту, сертификаты соответствия или заверенные должным образом их копии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5.3.2. Осуществить замену некондиционного товара в течение 3-х дней с момента выставления Заказчиком претензии. 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5.3.3. Предоставить Заказчику в течение 3-х дней со дня поступления запроса, финансовые отчеты соисполнителей с приложениями заверенных копий всех первичных документов.</w:t>
      </w:r>
      <w:r/>
    </w:p>
    <w:p>
      <w:pPr>
        <w:ind w:firstLine="567"/>
        <w:jc w:val="both"/>
        <w:widowControl/>
        <w:tabs>
          <w:tab w:val="left" w:pos="54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5.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4.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Поставщик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подтверждает соответствие единым требованиям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,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установленным в Приложении №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3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к контракту.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  <w:t xml:space="preserve">6. Качество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6.1. </w:t>
      </w: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Требования к гарантии качества товара: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6.1.1. Качество товара при поставке должно подтверждаться сертификатом соответствия.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6.1.2. Поставляемый товар должен быть безопасным для жизни, здоровья людей, имущества Заказчика и окруж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  <w:r/>
    </w:p>
    <w:p>
      <w:pPr>
        <w:pStyle w:val="92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6.1.3. </w:t>
      </w:r>
      <w:r>
        <w:rPr>
          <w:rFonts w:ascii="Times New Roman" w:hAnsi="Times New Roman" w:cs="Times New Roman"/>
          <w:sz w:val="22"/>
          <w:szCs w:val="22"/>
        </w:rPr>
        <w:t xml:space="preserve"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/>
    </w:p>
    <w:p>
      <w:pPr>
        <w:ind w:firstLine="567"/>
        <w:jc w:val="both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6.2. </w:t>
      </w: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Требования к гарантийному сроку и (или) объему предоставления гарантий их качества: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6.2.1. Срок годности товара должен соответствовать сроку, указанному в сертификате соответствия и не должен заканчиваться ранее, чем через 12 месяцев с момента поставки.</w:t>
      </w:r>
      <w:r/>
    </w:p>
    <w:p>
      <w:pPr>
        <w:ind w:firstLine="567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b/>
          <w:bCs/>
          <w:color w:val="008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6.2.2. </w:t>
      </w:r>
      <w:r>
        <w:rPr>
          <w:rFonts w:ascii="Times New Roman" w:hAnsi="Times New Roman" w:cs="Times New Roman"/>
          <w:sz w:val="22"/>
          <w:szCs w:val="22"/>
        </w:rPr>
        <w:t xml:space="preserve">Гарантийный срок должен быть не менее, чем срок действия гарантии производителя данного товара</w:t>
      </w:r>
      <w:r>
        <w:rPr>
          <w:rFonts w:ascii="Times New Roman" w:hAnsi="Times New Roman" w:cs="Times New Roman"/>
          <w:b/>
          <w:bCs/>
          <w:color w:val="008000"/>
          <w:sz w:val="22"/>
          <w:szCs w:val="22"/>
        </w:rPr>
        <w:t xml:space="preserve">.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6.3.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При исполнении Контракта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</w:t>
      </w:r>
      <w:r>
        <w:rPr>
          <w:rFonts w:ascii="Times New Roman" w:hAnsi="Times New Roman" w:cs="Times New Roman"/>
          <w:sz w:val="22"/>
          <w:szCs w:val="22"/>
        </w:rPr>
        <w:t xml:space="preserve">го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  <w:r/>
    </w:p>
    <w:p>
      <w:pPr>
        <w:ind w:firstLine="567"/>
        <w:jc w:val="both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  <w:t xml:space="preserve">7. Упаковка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sz w:val="22"/>
          <w:szCs w:val="22"/>
          <w:lang w:bidi="ar-SA"/>
        </w:rPr>
        <w:t xml:space="preserve">7.1. Поставщик должен обеспеч</w:t>
      </w:r>
      <w:r>
        <w:rPr>
          <w:rFonts w:ascii="Times New Roman" w:hAnsi="Times New Roman" w:cs="Times New Roman" w:eastAsia="Times New Roman"/>
          <w:sz w:val="22"/>
          <w:szCs w:val="22"/>
          <w:lang w:bidi="ar-SA"/>
        </w:rPr>
        <w:t xml:space="preserve">ить упаковку Товара в соответствии с 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повреждений, а также иных </w:t>
      </w:r>
      <w:r>
        <w:rPr>
          <w:rFonts w:ascii="Times New Roman" w:hAnsi="Times New Roman" w:cs="Times New Roman" w:eastAsia="Times New Roman"/>
          <w:sz w:val="22"/>
          <w:szCs w:val="22"/>
          <w:lang w:bidi="ar-SA"/>
        </w:rPr>
        <w:t xml:space="preserve">несоответствий техническому</w:t>
      </w:r>
      <w:r>
        <w:rPr>
          <w:rFonts w:ascii="Times New Roman" w:hAnsi="Times New Roman" w:cs="Times New Roman" w:eastAsia="Times New Roman"/>
          <w:sz w:val="22"/>
          <w:szCs w:val="22"/>
          <w:lang w:bidi="ar-SA"/>
        </w:rPr>
        <w:t xml:space="preserve"> описанию.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  <w:t xml:space="preserve">8. Передача и прием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8.1.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В течение 3 рабочих дне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й с даты передачи товара по акту передачи Заказчик осуществляет приемку поставленного товара на соответствие его количества, комплектности, объема и качества требованиям, установленным в контракте и оформляет результаты такой приемки подписанием накладной.</w:t>
      </w:r>
      <w:r/>
    </w:p>
    <w:p>
      <w:pPr>
        <w:ind w:firstLine="567"/>
        <w:jc w:val="both"/>
        <w:widowControl/>
        <w:tabs>
          <w:tab w:val="num" w:pos="72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8.2. Заказчик вправе отказаться от приемки товара в случае не предоставления документов, указанных в п.5.3.1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контракта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 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8.3. Право собственности на передаваемый товар переходит от Поставщика к Заказчику в момент подписания накладной.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008080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008080"/>
          <w:sz w:val="22"/>
          <w:szCs w:val="22"/>
          <w:lang w:bidi="ar-SA"/>
        </w:rPr>
      </w:r>
      <w:r/>
    </w:p>
    <w:p>
      <w:pPr>
        <w:contextualSpacing/>
        <w:jc w:val="center"/>
        <w:widowControl/>
        <w:tabs>
          <w:tab w:val="left" w:pos="0" w:leader="none"/>
          <w:tab w:val="left" w:pos="1260" w:leader="none"/>
        </w:tabs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  <w:t xml:space="preserve">9</w:t>
      </w:r>
      <w:r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  <w:t xml:space="preserve">. Порядок поставки</w:t>
      </w:r>
      <w:r/>
    </w:p>
    <w:p>
      <w:pPr>
        <w:ind w:right="538" w:firstLine="567"/>
        <w:jc w:val="both"/>
        <w:widowControl/>
        <w:rPr>
          <w:rStyle w:val="919"/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9.1. Доставка осуществляется по адресу: </w:t>
      </w: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  <w:t xml:space="preserve">196628, г.</w:t>
      </w: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  <w:t xml:space="preserve"> </w:t>
      </w: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  <w:t xml:space="preserve">Санкт-Петербург, г. Павловск</w:t>
      </w: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  <w:t xml:space="preserve">, ул. </w:t>
      </w: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  <w:t xml:space="preserve">Садовая</w:t>
      </w: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  <w:t xml:space="preserve">, д.51, Литера А</w:t>
      </w:r>
      <w:r>
        <w:rPr>
          <w:rStyle w:val="919"/>
          <w:rFonts w:ascii="Times New Roman" w:hAnsi="Times New Roman" w:cs="Times New Roman"/>
          <w:sz w:val="22"/>
          <w:szCs w:val="22"/>
        </w:rPr>
        <w:t xml:space="preserve">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highlight w:val="none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9.2. Доставка осуществляется в рабочее время Заказчика: с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10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: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00 до 1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6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:00 час.</w:t>
      </w:r>
      <w:r/>
    </w:p>
    <w:p>
      <w:pPr>
        <w:contextualSpacing/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r>
      <w:r/>
    </w:p>
    <w:p>
      <w:pPr>
        <w:contextualSpacing/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highlight w:val="none"/>
          <w:lang w:bidi="ar-SA"/>
        </w:rPr>
      </w:r>
      <w:r>
        <w:rPr>
          <w:rFonts w:ascii="Times New Roman" w:hAnsi="Times New Roman" w:cs="Times New Roman" w:eastAsia="Times New Roman"/>
          <w:color w:val="auto"/>
          <w:sz w:val="22"/>
          <w:szCs w:val="22"/>
          <w:highlight w:val="none"/>
          <w:lang w:bidi="ar-SA"/>
        </w:rPr>
      </w:r>
      <w:r/>
    </w:p>
    <w:p>
      <w:pPr>
        <w:jc w:val="center"/>
        <w:widowControl/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  <w:t xml:space="preserve">10. Рекламации</w:t>
      </w:r>
      <w:r/>
    </w:p>
    <w:p>
      <w:pPr>
        <w:pStyle w:val="873"/>
        <w:ind w:firstLine="567"/>
        <w:tabs>
          <w:tab w:val="num" w:pos="90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10.1. </w:t>
      </w:r>
      <w:r>
        <w:rPr>
          <w:sz w:val="22"/>
          <w:szCs w:val="22"/>
        </w:rPr>
        <w:t xml:space="preserve">В случае заявления рекламаций по качеству </w:t>
      </w:r>
      <w:r>
        <w:rPr>
          <w:sz w:val="22"/>
          <w:szCs w:val="22"/>
        </w:rPr>
        <w:t xml:space="preserve">и </w:t>
      </w:r>
      <w:r>
        <w:rPr>
          <w:sz w:val="22"/>
          <w:szCs w:val="22"/>
        </w:rPr>
        <w:t xml:space="preserve">количеству товара по причине несоответствия ее условиям контракта или </w:t>
      </w:r>
      <w:r>
        <w:rPr>
          <w:sz w:val="22"/>
          <w:szCs w:val="22"/>
        </w:rPr>
        <w:t xml:space="preserve">техническим требованиям</w:t>
      </w:r>
      <w:r>
        <w:rPr>
          <w:sz w:val="22"/>
          <w:szCs w:val="22"/>
        </w:rPr>
        <w:t xml:space="preserve"> при предоставлении Заказчиком соответствующих доказательств, </w:t>
      </w:r>
      <w:r>
        <w:rPr>
          <w:sz w:val="22"/>
          <w:szCs w:val="22"/>
        </w:rPr>
        <w:t xml:space="preserve">Поставщик должен заменить товар </w:t>
      </w:r>
      <w:r>
        <w:rPr>
          <w:sz w:val="22"/>
          <w:szCs w:val="22"/>
        </w:rPr>
        <w:t xml:space="preserve">ненадлежащего качества </w:t>
      </w:r>
      <w:r>
        <w:rPr>
          <w:bCs/>
          <w:sz w:val="22"/>
          <w:szCs w:val="22"/>
        </w:rPr>
        <w:t xml:space="preserve">в течение 3 (трех) дней</w:t>
      </w:r>
      <w:r>
        <w:rPr>
          <w:sz w:val="22"/>
          <w:szCs w:val="22"/>
        </w:rPr>
        <w:t xml:space="preserve">, на товар, качество которого соответствует условиям контракта.</w:t>
      </w:r>
      <w:r/>
    </w:p>
    <w:p>
      <w:pPr>
        <w:pStyle w:val="873"/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10.2. В случае заявления рекламаций по причине несоответствия </w:t>
      </w:r>
      <w:r>
        <w:rPr>
          <w:sz w:val="22"/>
          <w:szCs w:val="22"/>
        </w:rPr>
        <w:t xml:space="preserve">товара</w:t>
      </w:r>
      <w:r>
        <w:rPr>
          <w:sz w:val="22"/>
          <w:szCs w:val="22"/>
        </w:rPr>
        <w:t xml:space="preserve"> условиям контракта Заказчик </w:t>
      </w:r>
      <w:r>
        <w:rPr>
          <w:sz w:val="22"/>
          <w:szCs w:val="22"/>
        </w:rPr>
        <w:t xml:space="preserve">вправе</w:t>
      </w:r>
      <w:r>
        <w:rPr>
          <w:sz w:val="22"/>
          <w:szCs w:val="22"/>
        </w:rPr>
        <w:t xml:space="preserve"> привлеч</w:t>
      </w:r>
      <w:r>
        <w:rPr>
          <w:sz w:val="22"/>
          <w:szCs w:val="22"/>
        </w:rPr>
        <w:t xml:space="preserve">ь </w:t>
      </w:r>
      <w:r>
        <w:rPr>
          <w:sz w:val="22"/>
          <w:szCs w:val="22"/>
        </w:rPr>
        <w:t xml:space="preserve">эксперта</w:t>
      </w:r>
      <w:r>
        <w:rPr>
          <w:sz w:val="22"/>
          <w:szCs w:val="22"/>
        </w:rPr>
        <w:t xml:space="preserve"> (экспертную организацию)</w:t>
      </w:r>
      <w:r>
        <w:rPr>
          <w:sz w:val="22"/>
          <w:szCs w:val="22"/>
        </w:rPr>
        <w:t xml:space="preserve">. При этом Поставщик несет все связанные с экспертизой расходы.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10.3. При возникновении разногласий </w:t>
      </w:r>
      <w:r>
        <w:rPr>
          <w:rFonts w:ascii="Times New Roman" w:hAnsi="Times New Roman" w:cs="Times New Roman"/>
          <w:sz w:val="22"/>
          <w:szCs w:val="22"/>
        </w:rPr>
        <w:t xml:space="preserve">по исполнению обязательства по контракту Поставщиком</w:t>
      </w:r>
      <w:r>
        <w:rPr>
          <w:rFonts w:ascii="Times New Roman" w:hAnsi="Times New Roman" w:cs="Times New Roman"/>
          <w:sz w:val="22"/>
          <w:szCs w:val="22"/>
        </w:rPr>
        <w:t xml:space="preserve"> Заказчик обязан составить соответствующие акты и передать их Поставщику.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  <w:t xml:space="preserve">11. Форс-мажор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11.1. При возникновении обстоятельств, которые делают полностью или частично невозможным выполнение контракта одной из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сторон, а именно: пожар, стихийное бедствие, военные действия всех видов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 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11.2. Е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контракту, причем ни одна из сторон не может требовать от другой стороны возмещения возможных убытков.</w:t>
      </w:r>
      <w:r/>
    </w:p>
    <w:p>
      <w:pPr>
        <w:ind w:firstLine="709"/>
        <w:jc w:val="both"/>
        <w:widowControl/>
        <w:tabs>
          <w:tab w:val="left" w:pos="108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11.3. Сторона, оказавшаяся не в состоянии выполнить свои обязательства по настоящему контракту, обязана незамедлительно известить другую строну о наступлении или прекращении действия обстоятельств, препятствующих выполнению этих обязательств.</w:t>
      </w:r>
      <w:r/>
    </w:p>
    <w:p>
      <w:pPr>
        <w:ind w:firstLine="709"/>
        <w:jc w:val="both"/>
        <w:widowControl/>
        <w:tabs>
          <w:tab w:val="left" w:pos="72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11.4. Уведомление направляется по юридическому адресу, указанному в контракте, и заверяется передающим отделением связи.</w:t>
      </w:r>
      <w:r/>
    </w:p>
    <w:p>
      <w:pPr>
        <w:jc w:val="both"/>
        <w:widowControl/>
        <w:tabs>
          <w:tab w:val="left" w:pos="72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  <w:t xml:space="preserve">12. Ответственность сторон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12.1.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12.2. В случае просрочки исполнения обязател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ьств (в том числе гарантийного обязательства), предусмотренных контрактом, а также в иных случаях,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12.3.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За каждый день просрочки исполнения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Поставщиком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обязательства, предусмотренного контрактом, начисляется пеня в размере одной трехсотой действующей на дату уплаты пени ключево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й ставки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тически исполненных Поставщиком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, за исключением случаев, если законодательством Российской Федерации установлен иной порядок начисления пени.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12.4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За каждый факт неисполнения или ненадлежащего исполнения Поставщиком обязательства, предусмотренного Контрактом, которое не имеет стоимостного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выражения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,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Поставщик уплачивает Заказчику штраф в размере 1 000 руб. (Одна тысяча рублей 00 коп.), согласно Постановления Правительства РФ от 30.08.2017г. №1042.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12.5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За каждый факт неисполнения или ненадлежащего исполнения Поставщиком обязательств, предусмотренных Контракто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м, за исключением просрочки исполнения обязательств (в том числе гарантийного обязательства), предусмотренных Контрактом, Поставщик уплачивает Заказчику штраф, согласно Постановления Правительства РФ от 30.08.2017г. №1042, в размере 10 % от цены Контракта.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12.6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В случае просрочки исполнения Заказчиком обязательств, предусмотренных Контрактом, Поставщик вправе потребовать уплаты пеней в размере одной трехсотой действующей на день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12.7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За каждый факт неисполнения Заказчиком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штраф устанавливается в размере 1 000 руб. (Одна тысяча рублей 00 коп.), согласно Постановления Правительства РФ от 30.08.2017г. №1042.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12.8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Уплата неу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стойки (штрафа, пени) за нарушение обязательств по Контракту производится «Поставщиком» на основании требования «Заказчика» перечислением денежных средств на текущий счет по исполнению бюджета Санкт-Петербурга, открытый Комитетом финансов Санкт-Петербурга.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12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.9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«Поставщика» от исполнения этих обязательств в натуре.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12.10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Указанная в настоящем пункте неустойка (штраф, пени) взимается за каждое нарушение в отдельности.</w:t>
      </w:r>
      <w:r/>
    </w:p>
    <w:p>
      <w:pPr>
        <w:ind w:firstLine="567"/>
        <w:jc w:val="both"/>
        <w:widowControl/>
        <w:tabs>
          <w:tab w:val="left" w:pos="0" w:leader="none"/>
          <w:tab w:val="left" w:pos="108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12.11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В случае неисполнения или ненадлежащего исполнения Поставщиком обязательств по Контракту Заказчик вправе произвести оплату по Контр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п.4.1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контракта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, а также акта, в котором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  <w:r/>
    </w:p>
    <w:p>
      <w:pPr>
        <w:ind w:firstLine="567"/>
        <w:jc w:val="both"/>
        <w:widowControl/>
        <w:tabs>
          <w:tab w:val="left" w:pos="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12.12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r>
      <w:r/>
    </w:p>
    <w:p>
      <w:pPr>
        <w:ind w:firstLine="720"/>
        <w:jc w:val="center"/>
        <w:widowControl/>
        <w:tabs>
          <w:tab w:val="left" w:pos="1260" w:leader="none"/>
        </w:tabs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  <w:t xml:space="preserve">13. Порядок рассмотрения споров</w:t>
      </w:r>
      <w:r/>
    </w:p>
    <w:p>
      <w:pPr>
        <w:ind w:firstLine="567"/>
        <w:jc w:val="both"/>
        <w:widowControl/>
        <w:tabs>
          <w:tab w:val="left" w:pos="126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13.1. Различные споры, ко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торые могут возникнуть по настоящему контракту, разрешаются по взаимному согласию и урегулируются путем переговоров. При не достижении сторонами согласия, спор может быть передан на рассмотрение   Арбитражного суда Санкт-Петербурга и Ленинградской области.</w:t>
      </w:r>
      <w:r/>
    </w:p>
    <w:p>
      <w:pPr>
        <w:ind w:firstLine="567"/>
        <w:jc w:val="both"/>
        <w:widowControl/>
        <w:tabs>
          <w:tab w:val="left" w:pos="126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r>
      <w:r/>
    </w:p>
    <w:p>
      <w:pPr>
        <w:ind w:firstLine="720"/>
        <w:jc w:val="center"/>
        <w:widowControl/>
        <w:tabs>
          <w:tab w:val="left" w:pos="1260" w:leader="none"/>
        </w:tabs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color w:val="auto"/>
          <w:sz w:val="22"/>
          <w:szCs w:val="22"/>
          <w:lang w:bidi="ar-SA"/>
        </w:rPr>
        <w:t xml:space="preserve">14. Прочие условия</w:t>
      </w:r>
      <w:r/>
    </w:p>
    <w:p>
      <w:pPr>
        <w:ind w:firstLine="567"/>
        <w:jc w:val="both"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14.1. Контракт может быть расторгнут по соглашению сторон, решению суда или в связи с односторонним отказом от исполнения контракта.</w:t>
      </w:r>
      <w:r/>
    </w:p>
    <w:p>
      <w:pPr>
        <w:ind w:firstLine="567"/>
        <w:jc w:val="both"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14.2. Заказчик вправе в одностороннем порядке отказаться от исполнения контракта   в соответствии с частью 2 статьи 407 и статьи 450.1 ГК РФ в случае существенных нарушений Поставщиком условий настоящего контракта, а именно:</w:t>
      </w:r>
      <w:r/>
    </w:p>
    <w:p>
      <w:pPr>
        <w:ind w:firstLine="567"/>
        <w:jc w:val="both"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14.2.1. поставки товаров ненадлежащего качества с недостатками, которые не могут быть устранены в приемлемый для Заказчика срок;</w:t>
      </w:r>
      <w:r/>
    </w:p>
    <w:p>
      <w:pPr>
        <w:ind w:firstLine="567"/>
        <w:jc w:val="both"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14.2.2. неоднократного нарушения сроков поставки товаров.</w:t>
      </w:r>
      <w:r/>
    </w:p>
    <w:p>
      <w:pPr>
        <w:ind w:firstLine="567"/>
        <w:jc w:val="both"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14.3. В случае отсутствия по независящим от Заказчика причинам возможности дальнейшего финансирования по контракту, контракт подлежит расторжению по соглашению сторон.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14.4. Настоящий контракт вступает в силу с даты подписания его сторонами, действует по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31.12.2022 г., а в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части оплаты - до полного исполнения сторонами своих обязательств. Настоящий контракт подлежит обязательной регистрации в Реестре контрактов, в сроки и в соответствии с требованиями, установленными действующим законодательством.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14.5.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преобразования, слияния или присоединения.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14.6.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14.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6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.1. платить или предлагать уплатить денежные средства или предоставить иные ценности, безвозмездно выполнить работы, оказать услуги публично-правовым образованиям, должностным лицам публично-правовых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14.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6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.2. платить или предлагать уплатить денежные средства или предоставить иные ценности, безвозмездно выполнить р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аботы, оказать услуги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14.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6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.3. не совершать иных действий, нарушающих антикоррупционное законодательство Российской Федерации.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14.7. Любые изменения и дополнения к настоящему контракту действительны лишь в том случае, если они совершены в письменной форме и подписаны обеими сторонами.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14.8. Во всем остальном, не оговоренном настоящим Контрактом, стороны руководствуются действующим законодательством РФ.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14.9. Настоящий контракт составлен в двух экземплярах, имеющих равную юридическую силу по одному для каждой сторон.</w:t>
      </w:r>
      <w:r/>
    </w:p>
    <w:p>
      <w:pPr>
        <w:ind w:firstLine="567"/>
        <w:jc w:val="both"/>
        <w:widowControl/>
        <w:tabs>
          <w:tab w:val="num" w:pos="900" w:leader="none"/>
        </w:tabs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r>
      <w:r/>
    </w:p>
    <w:p>
      <w:pPr>
        <w:jc w:val="center"/>
        <w:widowControl/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15. Приложения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15.1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. Приложение №1 – Расчет стоимости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поставк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и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/>
        </w:rPr>
        <w:t xml:space="preserve">аттестатов и приложений об основном общем образовании для ГБОУ школа-интернат </w:t>
      </w:r>
      <w:r>
        <w:rPr>
          <w:rFonts w:ascii="Times New Roman" w:hAnsi="Times New Roman"/>
          <w:sz w:val="22"/>
          <w:szCs w:val="22"/>
        </w:rPr>
        <w:t xml:space="preserve">№ 68</w:t>
      </w:r>
      <w:r>
        <w:rPr>
          <w:rFonts w:ascii="Times New Roman" w:hAnsi="Times New Roman"/>
          <w:sz w:val="22"/>
          <w:szCs w:val="22"/>
        </w:rPr>
        <w:t xml:space="preserve"> Санкт-Петербурга</w:t>
      </w:r>
      <w:r>
        <w:rPr>
          <w:rFonts w:ascii="Times New Roman" w:hAnsi="Times New Roman"/>
          <w:sz w:val="22"/>
          <w:szCs w:val="22"/>
        </w:rPr>
        <w:t xml:space="preserve"> в 2024 г.</w:t>
      </w:r>
      <w:r/>
    </w:p>
    <w:p>
      <w:pPr>
        <w:contextualSpacing/>
        <w:ind w:firstLine="540"/>
        <w:jc w:val="both"/>
        <w:widowControl/>
        <w:rPr>
          <w:rFonts w:ascii="Times New Roman" w:hAnsi="Times New Roman" w:cs="Times New Roman" w:eastAsia="SimSu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SimSun"/>
          <w:color w:val="auto"/>
          <w:sz w:val="22"/>
          <w:szCs w:val="22"/>
          <w:lang w:bidi="ar-SA"/>
        </w:rPr>
        <w:t xml:space="preserve">15.2. Приложение № 2 – </w:t>
      </w:r>
      <w:r>
        <w:rPr>
          <w:rFonts w:ascii="Times New Roman" w:hAnsi="Times New Roman" w:cs="Times New Roman" w:eastAsia="SimSun"/>
          <w:color w:val="auto"/>
          <w:sz w:val="22"/>
          <w:szCs w:val="22"/>
          <w:lang w:bidi="ar-SA"/>
        </w:rPr>
        <w:t xml:space="preserve">Техническое задание.</w:t>
      </w:r>
      <w:r/>
    </w:p>
    <w:p>
      <w:pPr>
        <w:contextualSpacing/>
        <w:ind w:firstLine="540"/>
        <w:jc w:val="both"/>
        <w:widowControl/>
        <w:rPr>
          <w:rFonts w:ascii="Times New Roman" w:hAnsi="Times New Roman" w:cs="Times New Roman" w:eastAsia="SimSun"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SimSun"/>
          <w:color w:val="auto"/>
          <w:sz w:val="22"/>
          <w:szCs w:val="22"/>
          <w:lang w:bidi="ar-SA"/>
        </w:rPr>
        <w:t xml:space="preserve">15.3. Приложение № 3 – </w:t>
      </w:r>
      <w:r>
        <w:rPr>
          <w:rFonts w:ascii="Times New Roman" w:hAnsi="Times New Roman" w:cs="Times New Roman" w:eastAsia="Times New Roman"/>
          <w:color w:val="auto"/>
          <w:sz w:val="22"/>
          <w:szCs w:val="22"/>
          <w:lang w:bidi="ar-SA" w:eastAsia="en-US"/>
        </w:rPr>
        <w:t xml:space="preserve">Декларация о соответствии Поставщика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нужд».</w:t>
      </w:r>
      <w:r/>
    </w:p>
    <w:p>
      <w:pPr>
        <w:ind w:firstLine="567"/>
        <w:jc w:val="both"/>
        <w:widowControl/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r>
      <w:r/>
    </w:p>
    <w:p>
      <w:pPr>
        <w:ind w:firstLine="567"/>
        <w:jc w:val="center"/>
        <w:widowControl/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16. Юридические адреса и реквизиты сторон:</w:t>
      </w:r>
      <w:r/>
    </w:p>
    <w:p>
      <w:pPr>
        <w:ind w:firstLine="567"/>
        <w:jc w:val="center"/>
        <w:widowControl/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r>
      <w:r/>
    </w:p>
    <w:tbl>
      <w:tblPr>
        <w:tblW w:w="988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174"/>
        <w:gridCol w:w="4714"/>
      </w:tblGrid>
      <w:tr>
        <w:trPr>
          <w:trHeight w:val="895"/>
        </w:trPr>
        <w:tc>
          <w:tcPr>
            <w:tcW w:w="5174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z w:val="20"/>
                <w:szCs w:val="20"/>
                <w:lang w:bidi="ar-SA"/>
              </w:rPr>
              <w:t xml:space="preserve">ЗАКАЗЧИК:</w:t>
            </w:r>
            <w:r/>
          </w:p>
          <w:p>
            <w:pPr>
              <w:ind w:left="-105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b/>
                <w:sz w:val="22"/>
                <w:szCs w:val="22"/>
              </w:rPr>
              <w:t xml:space="preserve"> ГБОУ школа-интернат № 68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b/>
                <w:sz w:val="22"/>
                <w:szCs w:val="22"/>
              </w:rPr>
              <w:t xml:space="preserve">Санкт-Петербурга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Адрес:196621, г. Санкт-Петербург,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г. Павловск, ул. Садовая, д. 51, литера А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ИНН/КПП 7822005572/782001001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Банковские реквизиты: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Комитет финансов Санкт-Петербурга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(ГБОУ школа-интернат №6 8 Санкт-Петербурга,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л/с 0731072</w:t>
            </w: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) 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р/с </w:t>
            </w: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03224643400000007200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Северо-Западное ГУ Банка России//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УФК по г. Санкт-Петербургу, г. Санкт-Петербург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БИК </w:t>
            </w: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014030106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к/с </w:t>
            </w: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40102810945370000005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тел. (812)452-22-25;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адрес электронной почты: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int68.spb@yandex.ru 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И.О</w:t>
            </w: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. директора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spacing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_____________О.С. Ефимова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/>
          </w:p>
          <w:p>
            <w:pPr>
              <w:spacing w:line="240" w:lineRule="atLeast"/>
              <w:widowControl/>
              <w:rPr>
                <w:rFonts w:ascii="Times New Roman" w:hAnsi="Times New Roman" w:cs="Times New Roman" w:eastAsia="Calibri"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Calibri"/>
                <w:sz w:val="22"/>
                <w:szCs w:val="22"/>
              </w:rPr>
              <w:t xml:space="preserve">Подписано ЭЦП</w:t>
            </w:r>
            <w:r>
              <w:rPr>
                <w:rFonts w:ascii="Times New Roman" w:hAnsi="Times New Roman" w:cs="Times New Roman" w:eastAsia="Calibri"/>
                <w:b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 w:eastAsia="Calibri"/>
                <w:b/>
                <w:sz w:val="22"/>
                <w:szCs w:val="22"/>
              </w:rPr>
              <w:t xml:space="preserve"> </w:t>
            </w:r>
            <w:r>
              <w:rPr>
                <w:rFonts w:eastAsia="Calibri"/>
                <w:b/>
              </w:rPr>
              <w:t xml:space="preserve">                  </w:t>
            </w:r>
            <w:r>
              <w:rPr>
                <w:rFonts w:ascii="Times New Roman" w:hAnsi="Times New Roman" w:cs="Times New Roman" w:eastAsia="Calibri"/>
                <w:bCs/>
                <w:color w:val="auto"/>
                <w:sz w:val="20"/>
                <w:szCs w:val="20"/>
                <w:lang w:bidi="ar-SA"/>
              </w:rPr>
            </w:r>
            <w:r/>
          </w:p>
        </w:tc>
        <w:tc>
          <w:tcPr>
            <w:tcW w:w="4714" w:type="dxa"/>
            <w:textDirection w:val="lrTb"/>
            <w:noWrap w:val="false"/>
          </w:tcPr>
          <w:p>
            <w:pPr>
              <w:tabs>
                <w:tab w:val="left" w:pos="426" w:leader="none"/>
              </w:tabs>
              <w:rPr>
                <w:rFonts w:ascii="Times New Roman" w:hAnsi="Times New Roman" w:cs="Times New Roman" w:eastAsia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z w:val="20"/>
                <w:szCs w:val="20"/>
                <w:lang w:bidi="ar-SA"/>
              </w:rPr>
              <w:t xml:space="preserve">ПОСТАВЩИК:</w:t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  <w:t xml:space="preserve">__________________</w:t>
            </w:r>
            <w:r/>
          </w:p>
          <w:p>
            <w:pP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/>
              </w:rPr>
              <w:t xml:space="preserve">Подписано ЭЦП</w:t>
            </w:r>
            <w:r/>
          </w:p>
        </w:tc>
      </w:tr>
    </w:tbl>
    <w:p>
      <w:pPr>
        <w:rPr>
          <w:rFonts w:ascii="Times New Roman" w:hAnsi="Times New Roman" w:cs="Times New Roman"/>
        </w:rPr>
        <w:sectPr>
          <w:footnotePr/>
          <w:endnotePr/>
          <w:type w:val="nextPage"/>
          <w:pgSz w:w="11906" w:h="16838" w:orient="portrait"/>
          <w:pgMar w:top="567" w:right="849" w:bottom="1134" w:left="1418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cs="Times New Roman" w:eastAsia="SimSun"/>
          <w:i/>
          <w:color w:val="auto"/>
          <w:sz w:val="20"/>
          <w:szCs w:val="20"/>
          <w:lang w:bidi="ar-SA"/>
        </w:rPr>
      </w:pP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Приложение № 1 к контракту</w:t>
      </w:r>
      <w:r/>
    </w:p>
    <w:p>
      <w:pPr>
        <w:ind w:firstLine="5245"/>
        <w:jc w:val="right"/>
        <w:keepLines/>
        <w:keepNext/>
        <w:spacing w:line="240" w:lineRule="atLeast"/>
        <w:widowControl/>
        <w:rPr>
          <w:rFonts w:ascii="Times New Roman" w:hAnsi="Times New Roman" w:cs="Times New Roman" w:eastAsia="SimSun"/>
          <w:i/>
          <w:color w:val="auto"/>
          <w:sz w:val="20"/>
          <w:szCs w:val="20"/>
          <w:lang w:bidi="ar-SA"/>
        </w:rPr>
      </w:pP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№ </w:t>
      </w: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____________</w:t>
      </w: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 от ____.____. 202</w:t>
      </w: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2 </w:t>
      </w: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г. </w:t>
      </w:r>
      <w:r/>
    </w:p>
    <w:tbl>
      <w:tblPr>
        <w:tblpPr w:horzAnchor="margin" w:tblpXSpec="left" w:vertAnchor="text" w:tblpY="170" w:leftFromText="180" w:topFromText="0" w:rightFromText="180" w:bottomFromText="0"/>
        <w:tblW w:w="4536" w:type="dxa"/>
        <w:tblLook w:val="0000" w:firstRow="0" w:lastRow="0" w:firstColumn="0" w:lastColumn="0" w:noHBand="0" w:noVBand="0"/>
      </w:tblPr>
      <w:tblGrid>
        <w:gridCol w:w="4536"/>
      </w:tblGrid>
      <w:tr>
        <w:trPr>
          <w:trHeight w:val="1292"/>
        </w:trPr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  <w:t xml:space="preserve">СОГЛАСОВАНО</w:t>
            </w:r>
            <w:r/>
          </w:p>
          <w:p>
            <w:pPr>
              <w:widowControl/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  <w:t xml:space="preserve">Начальник отдела образования администрации Пушкинского района </w:t>
            </w:r>
            <w:r/>
          </w:p>
          <w:p>
            <w:pPr>
              <w:widowControl/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  <w:t xml:space="preserve">Санкт-Петербурга</w:t>
            </w:r>
            <w:r/>
          </w:p>
          <w:p>
            <w:pPr>
              <w:widowControl/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widowControl/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</w:r>
            <w:r/>
          </w:p>
          <w:p>
            <w:pPr>
              <w:widowControl/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  <w:t xml:space="preserve">_____________________ Н.П. </w:t>
            </w:r>
            <w:r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  <w:t xml:space="preserve">Микушева</w:t>
            </w:r>
            <w:r/>
          </w:p>
          <w:p>
            <w:pPr>
              <w:widowControl/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2"/>
                <w:szCs w:val="22"/>
                <w:lang w:bidi="ar-SA"/>
              </w:rPr>
            </w:r>
            <w:r/>
          </w:p>
        </w:tc>
      </w:tr>
    </w:tbl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  <w:t xml:space="preserve">РАСЧЕТ СТОИМОСТИ </w:t>
      </w:r>
      <w:r/>
    </w:p>
    <w:p>
      <w:pPr>
        <w:jc w:val="center"/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lang w:bidi="ar-SA"/>
        </w:rPr>
        <w:t xml:space="preserve">поставки </w:t>
      </w: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аттестатов и приложений об основном общем образовании </w:t>
      </w:r>
      <w:r/>
    </w:p>
    <w:p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 w:cs="Times New Roman" w:eastAsia="Times New Roman"/>
          <w:b/>
          <w:color w:val="auto"/>
          <w:sz w:val="22"/>
          <w:szCs w:val="22"/>
          <w:lang w:bidi="ar-SA"/>
        </w:rPr>
        <w:t xml:space="preserve">для ГБОУ </w:t>
      </w:r>
      <w:r>
        <w:rPr>
          <w:rFonts w:ascii="Times New Roman" w:hAnsi="Times New Roman"/>
          <w:b/>
          <w:sz w:val="22"/>
          <w:szCs w:val="22"/>
        </w:rPr>
        <w:t xml:space="preserve">школа-интернат № 68 Санкт-Петербурга в 2024 г.</w:t>
      </w:r>
      <w:r/>
    </w:p>
    <w:p>
      <w:pPr>
        <w:jc w:val="center"/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/>
          <w:bCs/>
          <w:sz w:val="22"/>
          <w:szCs w:val="22"/>
          <w:lang w:bidi="ar-SA"/>
        </w:rPr>
      </w:r>
      <w:r/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6"/>
        <w:gridCol w:w="4965"/>
        <w:gridCol w:w="1554"/>
        <w:gridCol w:w="579"/>
        <w:gridCol w:w="616"/>
        <w:gridCol w:w="1106"/>
        <w:gridCol w:w="1150"/>
      </w:tblGrid>
      <w:tr>
        <w:trPr>
          <w:jc w:val="center"/>
          <w:trHeight w:val="885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30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  <w:t xml:space="preserve">№ п/п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379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  <w:t xml:space="preserve">Наименование</w:t>
            </w:r>
            <w:r/>
          </w:p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41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Calibri"/>
                <w:color w:val="auto"/>
                <w:sz w:val="20"/>
                <w:szCs w:val="20"/>
                <w:lang w:bidi="ar-SA" w:eastAsia="en-US"/>
              </w:rPr>
              <w:t xml:space="preserve">Страна происхождения товара</w:t>
            </w:r>
            <w:r>
              <w:rPr>
                <w:rFonts w:ascii="Times New Roman" w:hAnsi="Times New Roman" w:cs="Times New Roman" w:eastAsia="Calibri"/>
                <w:color w:val="auto"/>
                <w:sz w:val="20"/>
                <w:szCs w:val="20"/>
                <w:vertAlign w:val="superscript"/>
                <w:lang w:bidi="ar-SA" w:eastAsia="en-US"/>
              </w:rPr>
              <w:footnoteReference w:customMarkFollows="1" w:id="5"/>
              <w:t xml:space="preserve">*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one" w:color="000000" w:sz="4" w:space="0"/>
            </w:tcBorders>
            <w:tcW w:w="275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  <w:t xml:space="preserve">Ед. изм.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8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  <w:t xml:space="preserve">К</w:t>
            </w: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  <w:t xml:space="preserve">ол-во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cs="Times New Roman" w:eastAsia="Calibri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Calibri"/>
                <w:color w:val="auto"/>
                <w:sz w:val="20"/>
                <w:szCs w:val="20"/>
                <w:lang w:bidi="ar-SA" w:eastAsia="en-US"/>
              </w:rPr>
              <w:t xml:space="preserve">Цена, </w:t>
            </w:r>
            <w:r>
              <w:rPr>
                <w:rFonts w:ascii="Times New Roman" w:hAnsi="Times New Roman" w:cs="Times New Roman" w:eastAsia="Calibri"/>
                <w:color w:val="C00000"/>
                <w:sz w:val="20"/>
                <w:szCs w:val="20"/>
                <w:lang w:bidi="ar-SA" w:eastAsia="en-US"/>
              </w:rPr>
              <w:t xml:space="preserve">в </w:t>
            </w:r>
            <w:r>
              <w:rPr>
                <w:rFonts w:ascii="Times New Roman" w:hAnsi="Times New Roman" w:cs="Times New Roman" w:eastAsia="Calibri"/>
                <w:color w:val="C00000"/>
                <w:sz w:val="20"/>
                <w:szCs w:val="20"/>
                <w:lang w:bidi="ar-SA" w:eastAsia="en-US"/>
              </w:rPr>
              <w:t xml:space="preserve">т.ч</w:t>
            </w:r>
            <w:r>
              <w:rPr>
                <w:rFonts w:ascii="Times New Roman" w:hAnsi="Times New Roman" w:cs="Times New Roman" w:eastAsia="Calibri"/>
                <w:color w:val="C00000"/>
                <w:sz w:val="20"/>
                <w:szCs w:val="20"/>
                <w:lang w:bidi="ar-SA" w:eastAsia="en-US"/>
              </w:rPr>
              <w:t xml:space="preserve">. НДС</w:t>
            </w:r>
            <w:r>
              <w:rPr>
                <w:rFonts w:ascii="Times New Roman" w:hAnsi="Times New Roman" w:cs="Times New Roman" w:eastAsia="Calibri"/>
                <w:color w:val="C00000"/>
                <w:sz w:val="20"/>
                <w:szCs w:val="20"/>
                <w:vertAlign w:val="superscript"/>
                <w:lang w:bidi="ar-SA" w:eastAsia="en-US"/>
              </w:rPr>
              <w:footnoteReference w:customMarkFollows="1" w:id="6"/>
              <w:t xml:space="preserve">**</w:t>
            </w:r>
            <w:r>
              <w:rPr>
                <w:rFonts w:ascii="Times New Roman" w:hAnsi="Times New Roman" w:cs="Times New Roman" w:eastAsia="Calibri"/>
                <w:color w:val="C00000"/>
                <w:sz w:val="20"/>
                <w:szCs w:val="20"/>
                <w:lang w:bidi="ar-SA" w:eastAsia="en-US"/>
              </w:rPr>
              <w:t xml:space="preserve"> (или без НДС) руб.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4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rPr>
                <w:rFonts w:ascii="Times New Roman" w:hAnsi="Times New Roman" w:cs="Times New Roman" w:eastAsia="Calibri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Calibri"/>
                <w:color w:val="auto"/>
                <w:sz w:val="20"/>
                <w:szCs w:val="20"/>
                <w:lang w:bidi="ar-SA" w:eastAsia="en-US"/>
              </w:rPr>
              <w:t xml:space="preserve">Сумма, </w:t>
            </w:r>
            <w:r>
              <w:rPr>
                <w:rFonts w:ascii="Times New Roman" w:hAnsi="Times New Roman" w:cs="Times New Roman" w:eastAsia="Calibri"/>
                <w:color w:val="C00000"/>
                <w:sz w:val="20"/>
                <w:szCs w:val="20"/>
                <w:lang w:bidi="ar-SA" w:eastAsia="en-US"/>
              </w:rPr>
              <w:t xml:space="preserve">в </w:t>
            </w:r>
            <w:r>
              <w:rPr>
                <w:rFonts w:ascii="Times New Roman" w:hAnsi="Times New Roman" w:cs="Times New Roman" w:eastAsia="Calibri"/>
                <w:color w:val="C00000"/>
                <w:sz w:val="20"/>
                <w:szCs w:val="20"/>
                <w:lang w:bidi="ar-SA" w:eastAsia="en-US"/>
              </w:rPr>
              <w:t xml:space="preserve">т.ч</w:t>
            </w:r>
            <w:r>
              <w:rPr>
                <w:rFonts w:ascii="Times New Roman" w:hAnsi="Times New Roman" w:cs="Times New Roman" w:eastAsia="Calibri"/>
                <w:color w:val="C00000"/>
                <w:sz w:val="20"/>
                <w:szCs w:val="20"/>
                <w:lang w:bidi="ar-SA" w:eastAsia="en-US"/>
              </w:rPr>
              <w:t xml:space="preserve">. НДС (или без НДС), руб.</w:t>
            </w:r>
            <w:r/>
          </w:p>
        </w:tc>
      </w:tr>
      <w:tr>
        <w:trPr>
          <w:jc w:val="center"/>
          <w:trHeight w:val="342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30" w:type="pct"/>
            <w:vAlign w:val="center"/>
            <w:textDirection w:val="lrTb"/>
            <w:noWrap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9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5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8" w:type="pct"/>
            <w:textDirection w:val="lrTb"/>
            <w:noWrap/>
          </w:tcPr>
          <w:p>
            <w:pPr>
              <w:jc w:val="center"/>
              <w:spacing w:after="160" w:line="259" w:lineRule="auto"/>
              <w:widowControl/>
              <w:rPr>
                <w:rFonts w:ascii="Times New Roman" w:hAnsi="Times New Roman" w:cs="Times New Roman" w:eastAsiaTheme="minorHAnsi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Theme="minorHAnsi"/>
                <w:color w:val="auto"/>
                <w:sz w:val="20"/>
                <w:szCs w:val="20"/>
                <w:lang w:bidi="ar-SA" w:eastAsia="en-US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4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r>
            <w:r/>
          </w:p>
        </w:tc>
      </w:tr>
      <w:tr>
        <w:trPr>
          <w:jc w:val="center"/>
          <w:trHeight w:val="342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30" w:type="pct"/>
            <w:vAlign w:val="center"/>
            <w:textDirection w:val="lrTb"/>
            <w:noWrap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9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5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8" w:type="pct"/>
            <w:textDirection w:val="lrTb"/>
            <w:noWrap/>
          </w:tcPr>
          <w:p>
            <w:pPr>
              <w:jc w:val="center"/>
              <w:spacing w:after="160" w:line="259" w:lineRule="auto"/>
              <w:widowControl/>
              <w:rPr>
                <w:rFonts w:ascii="Times New Roman" w:hAnsi="Times New Roman" w:cs="Times New Roman" w:eastAsiaTheme="minorHAnsi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Theme="minorHAnsi"/>
                <w:color w:val="auto"/>
                <w:sz w:val="20"/>
                <w:szCs w:val="20"/>
                <w:lang w:bidi="ar-SA" w:eastAsia="en-US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4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r>
            <w:r/>
          </w:p>
        </w:tc>
      </w:tr>
      <w:tr>
        <w:trPr>
          <w:jc w:val="center"/>
          <w:trHeight w:val="342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30" w:type="pct"/>
            <w:vAlign w:val="center"/>
            <w:textDirection w:val="lrTb"/>
            <w:noWrap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  <w:t xml:space="preserve">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9" w:type="pct"/>
            <w:vAlign w:val="center"/>
            <w:textDirection w:val="lrTb"/>
            <w:noWrap w:val="false"/>
          </w:tcPr>
          <w:p>
            <w:pPr>
              <w:spacing w:after="160" w:line="259" w:lineRule="auto"/>
              <w:widowControl/>
              <w:rPr>
                <w:rFonts w:ascii="Times New Roman" w:hAnsi="Times New Roman" w:cs="Times New Roman" w:eastAsiaTheme="minorHAnsi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Theme="minorHAnsi"/>
                <w:color w:val="auto"/>
                <w:sz w:val="20"/>
                <w:szCs w:val="20"/>
                <w:lang w:bidi="ar-SA"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5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8" w:type="pct"/>
            <w:vAlign w:val="center"/>
            <w:textDirection w:val="lrTb"/>
            <w:noWrap/>
          </w:tcPr>
          <w:p>
            <w:pPr>
              <w:jc w:val="center"/>
              <w:spacing w:after="160" w:line="259" w:lineRule="auto"/>
              <w:widowControl/>
              <w:rPr>
                <w:rFonts w:ascii="Times New Roman" w:hAnsi="Times New Roman" w:cs="Times New Roman" w:eastAsiaTheme="minorHAnsi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Theme="minorHAnsi"/>
                <w:color w:val="auto"/>
                <w:sz w:val="20"/>
                <w:szCs w:val="20"/>
                <w:lang w:bidi="ar-SA" w:eastAsia="en-US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4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r>
            <w:r/>
          </w:p>
        </w:tc>
      </w:tr>
      <w:tr>
        <w:trPr>
          <w:jc w:val="center"/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0" w:type="pct"/>
            <w:vAlign w:val="center"/>
            <w:textDirection w:val="lrTb"/>
            <w:noWrap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379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z w:val="20"/>
                <w:szCs w:val="20"/>
                <w:lang w:bidi="ar-SA" w:eastAsia="en-US"/>
              </w:rPr>
            </w:r>
            <w:r/>
          </w:p>
        </w:tc>
        <w:tc>
          <w:tcPr>
            <w:gridSpan w:val="4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37" w:type="pct"/>
            <w:vAlign w:val="center"/>
            <w:textDirection w:val="lrTb"/>
            <w:noWrap w:val="false"/>
          </w:tcPr>
          <w:p>
            <w:pPr>
              <w:jc w:val="right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b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z w:val="20"/>
                <w:szCs w:val="20"/>
                <w:lang w:bidi="ar-SA" w:eastAsia="en-US"/>
              </w:rPr>
              <w:t xml:space="preserve">ИТОГО </w:t>
            </w:r>
            <w:r>
              <w:rPr>
                <w:rFonts w:ascii="Times New Roman" w:hAnsi="Times New Roman" w:cs="Times New Roman" w:eastAsia="Calibri"/>
                <w:b/>
                <w:color w:val="C00000"/>
                <w:sz w:val="20"/>
                <w:szCs w:val="20"/>
                <w:lang w:bidi="ar-SA" w:eastAsia="en-US"/>
              </w:rPr>
              <w:t xml:space="preserve">в </w:t>
            </w:r>
            <w:r>
              <w:rPr>
                <w:rFonts w:ascii="Times New Roman" w:hAnsi="Times New Roman" w:cs="Times New Roman" w:eastAsia="Calibri"/>
                <w:b/>
                <w:color w:val="C00000"/>
                <w:sz w:val="20"/>
                <w:szCs w:val="20"/>
                <w:lang w:bidi="ar-SA" w:eastAsia="en-US"/>
              </w:rPr>
              <w:t xml:space="preserve">т.ч</w:t>
            </w:r>
            <w:r>
              <w:rPr>
                <w:rFonts w:ascii="Times New Roman" w:hAnsi="Times New Roman" w:cs="Times New Roman" w:eastAsia="Calibri"/>
                <w:b/>
                <w:color w:val="C00000"/>
                <w:sz w:val="20"/>
                <w:szCs w:val="20"/>
                <w:lang w:bidi="ar-SA" w:eastAsia="en-US"/>
              </w:rPr>
              <w:t xml:space="preserve">. НДС (или без НДС)*</w:t>
            </w:r>
            <w:r>
              <w:rPr>
                <w:rFonts w:ascii="Times New Roman" w:hAnsi="Times New Roman" w:cs="Times New Roman" w:eastAsia="Calibri"/>
                <w:b/>
                <w:color w:val="auto"/>
                <w:sz w:val="20"/>
                <w:szCs w:val="20"/>
                <w:lang w:bidi="ar-SA" w:eastAsia="en-US"/>
              </w:rPr>
              <w:t xml:space="preserve"> руб.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z w:val="20"/>
                <w:szCs w:val="20"/>
                <w:lang w:bidi="ar-SA" w:eastAsia="en-US"/>
              </w:rPr>
              <w:t xml:space="preserve">: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54" w:type="pct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left" w:pos="6795" w:leader="none"/>
              </w:tabs>
              <w:rPr>
                <w:rFonts w:ascii="Times New Roman" w:hAnsi="Times New Roman" w:cs="Times New Roman" w:eastAsia="Times New Roman"/>
                <w:b/>
                <w:color w:val="auto"/>
                <w:sz w:val="20"/>
                <w:szCs w:val="20"/>
                <w:lang w:bidi="ar-SA" w:eastAsia="en-US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z w:val="20"/>
                <w:szCs w:val="20"/>
                <w:lang w:bidi="ar-SA" w:eastAsia="en-US"/>
              </w:rPr>
            </w:r>
            <w:r/>
          </w:p>
        </w:tc>
      </w:tr>
    </w:tbl>
    <w:tbl>
      <w:tblPr>
        <w:tblpPr w:horzAnchor="margin" w:tblpXSpec="center" w:vertAnchor="text" w:tblpY="672" w:leftFromText="180" w:topFromText="0" w:rightFromText="180" w:bottomFromText="0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>
        <w:trPr/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spacing w:line="300" w:lineRule="atLeast"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  <w:t xml:space="preserve">ЗАКАЗЧИК:</w:t>
            </w: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  <w:t xml:space="preserve">      </w:t>
            </w:r>
            <w:r/>
          </w:p>
          <w:p>
            <w:pPr>
              <w:spacing w:line="300" w:lineRule="atLeast"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  <w:t xml:space="preserve">ГБОУ школа-интернат № 68</w:t>
            </w:r>
            <w:r/>
          </w:p>
          <w:p>
            <w:pPr>
              <w:spacing w:line="300" w:lineRule="atLeast"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  <w:t xml:space="preserve">Санкт-Петербурга </w:t>
            </w:r>
            <w:r/>
          </w:p>
          <w:p>
            <w:pPr>
              <w:spacing w:line="300" w:lineRule="atLeast"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  <w:t xml:space="preserve">ИО Директора</w:t>
            </w:r>
            <w:r/>
          </w:p>
          <w:p>
            <w:pPr>
              <w:spacing w:line="300" w:lineRule="atLeast"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  <w:t xml:space="preserve">_______________</w:t>
            </w: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  <w:t xml:space="preserve">О.С. Ефимова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i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i/>
                <w:color w:val="auto"/>
                <w:sz w:val="20"/>
                <w:szCs w:val="20"/>
                <w:lang w:bidi="ar-SA"/>
              </w:rPr>
              <w:t xml:space="preserve">Подписано ЭЦП</w:t>
            </w:r>
            <w:r/>
          </w:p>
        </w:tc>
        <w:tc>
          <w:tcPr>
            <w:shd w:val="clear" w:color="auto" w:fill="auto"/>
            <w:tcW w:w="4786" w:type="dxa"/>
            <w:textDirection w:val="lrTb"/>
            <w:noWrap w:val="false"/>
          </w:tcPr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  <w:t xml:space="preserve">ПОСТАВЩИК: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r>
            <w:r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  <w:t xml:space="preserve">____________________/ ________________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i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i/>
                <w:color w:val="auto"/>
                <w:sz w:val="20"/>
                <w:szCs w:val="20"/>
                <w:lang w:bidi="ar-SA"/>
              </w:rPr>
              <w:t xml:space="preserve">Подписано ЭЦП</w:t>
            </w:r>
            <w:r/>
          </w:p>
        </w:tc>
      </w:tr>
    </w:tbl>
    <w:p>
      <w:pPr>
        <w:jc w:val="center"/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  <w:sectPr>
          <w:footnotePr/>
          <w:endnotePr/>
          <w:type w:val="nextPage"/>
          <w:pgSz w:w="11906" w:h="16838" w:orient="portrait"/>
          <w:pgMar w:top="720" w:right="720" w:bottom="720" w:left="720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cs="Times New Roman" w:eastAsia="SimSun"/>
          <w:i/>
          <w:color w:val="auto"/>
          <w:lang w:bidi="ar-SA"/>
        </w:rPr>
      </w:pP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Приложение № 2 к контракту</w:t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cs="Times New Roman" w:eastAsia="SimSun"/>
          <w:i/>
          <w:color w:val="auto"/>
          <w:lang w:bidi="ar-SA"/>
        </w:rPr>
      </w:pP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№ </w:t>
      </w: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___________</w:t>
      </w: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от ____.____. 20__г.</w:t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cs="Times New Roman" w:eastAsia="SimSun"/>
          <w:i/>
          <w:color w:val="auto"/>
          <w:lang w:bidi="ar-SA"/>
        </w:rPr>
      </w:pPr>
      <w:r>
        <w:rPr>
          <w:rFonts w:ascii="Times New Roman" w:hAnsi="Times New Roman" w:cs="Times New Roman" w:eastAsia="SimSun"/>
          <w:i/>
          <w:color w:val="auto"/>
          <w:lang w:bidi="ar-SA"/>
        </w:rPr>
      </w:r>
      <w:r/>
    </w:p>
    <w:p>
      <w:pPr>
        <w:ind w:firstLine="11"/>
        <w:jc w:val="center"/>
        <w:spacing w:line="240" w:lineRule="atLeast"/>
        <w:widowControl/>
        <w:rPr>
          <w:rFonts w:ascii="Times New Roman" w:hAnsi="Times New Roman" w:cs="Times New Roman" w:eastAsia="SimSun"/>
          <w:color w:val="auto"/>
          <w:lang w:bidi="ar-SA"/>
        </w:rPr>
      </w:pPr>
      <w:r>
        <w:rPr>
          <w:rFonts w:ascii="Times New Roman" w:hAnsi="Times New Roman" w:cs="Times New Roman" w:eastAsia="SimSun"/>
          <w:color w:val="auto"/>
          <w:lang w:bidi="ar-SA"/>
        </w:rPr>
        <w:t xml:space="preserve">Техническое задание</w:t>
      </w:r>
      <w:r/>
    </w:p>
    <w:tbl>
      <w:tblPr>
        <w:tblpPr w:horzAnchor="margin" w:tblpXSpec="center" w:vertAnchor="text" w:tblpY="672" w:leftFromText="180" w:topFromText="0" w:rightFromText="180" w:bottomFromText="0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>
        <w:trPr/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spacing w:line="300" w:lineRule="atLeast"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  <w:t xml:space="preserve">ЗАКАЗЧИК:</w:t>
            </w: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  <w:t xml:space="preserve">      </w:t>
            </w:r>
            <w:r/>
          </w:p>
          <w:p>
            <w:pPr>
              <w:spacing w:line="300" w:lineRule="atLeast"/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  <w:t xml:space="preserve">ГБОУ школа-интернат № 68</w:t>
            </w: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  <w:t xml:space="preserve">Санкт-Петербурга </w:t>
            </w: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  <w:t xml:space="preserve">ИО Директора</w:t>
            </w: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  <w:widowControl/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  <w:t xml:space="preserve">_______________</w:t>
            </w: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  <w:t xml:space="preserve">О.С. Ефимова</w:t>
            </w: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bCs/>
                <w:color w:val="auto"/>
                <w:lang w:bidi="ar-SA"/>
              </w:rPr>
            </w:pPr>
            <w:r>
              <w:rPr>
                <w:rFonts w:ascii="Times New Roman" w:hAnsi="Times New Roman" w:cs="Times New Roman" w:eastAsia="SimSun"/>
                <w:i/>
                <w:color w:val="auto"/>
                <w:sz w:val="20"/>
                <w:szCs w:val="20"/>
                <w:lang w:bidi="ar-SA"/>
              </w:rPr>
              <w:t xml:space="preserve">Подписано ЭЦП</w:t>
            </w:r>
            <w:r>
              <w:rPr>
                <w:rFonts w:ascii="Times New Roman" w:hAnsi="Times New Roman" w:cs="Times New Roman" w:eastAsia="SimSun"/>
                <w:i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i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i/>
                <w:color w:val="auto"/>
                <w:sz w:val="20"/>
                <w:szCs w:val="20"/>
                <w:lang w:bidi="ar-SA"/>
              </w:rPr>
            </w:r>
            <w:r/>
          </w:p>
        </w:tc>
        <w:tc>
          <w:tcPr>
            <w:shd w:val="clear" w:color="auto" w:fill="auto"/>
            <w:tcW w:w="4786" w:type="dxa"/>
            <w:textDirection w:val="lrTb"/>
            <w:noWrap w:val="false"/>
          </w:tcPr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  <w:t xml:space="preserve">ПОСТАВЩИК: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r>
            <w:r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b/>
                <w:bCs/>
                <w:color w:val="auto"/>
                <w:sz w:val="20"/>
                <w:szCs w:val="20"/>
                <w:lang w:bidi="ar-SA"/>
              </w:rPr>
            </w:r>
            <w:r>
              <w:rPr>
                <w:rFonts w:ascii="Times New Roman" w:hAnsi="Times New Roman" w:cs="Times New Roman" w:eastAsia="SimSun"/>
                <w:b/>
                <w:bCs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b/>
                <w:color w:val="auto"/>
                <w:sz w:val="20"/>
                <w:szCs w:val="20"/>
                <w:lang w:bidi="ar-SA"/>
              </w:rPr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color w:val="auto"/>
                <w:sz w:val="20"/>
                <w:szCs w:val="20"/>
                <w:lang w:bidi="ar-SA"/>
              </w:rPr>
              <w:t xml:space="preserve">____________________/ ________________</w:t>
            </w:r>
            <w:r/>
          </w:p>
          <w:p>
            <w:pPr>
              <w:spacing w:line="300" w:lineRule="atLeast"/>
              <w:widowControl/>
              <w:rPr>
                <w:rFonts w:ascii="Times New Roman" w:hAnsi="Times New Roman" w:cs="Times New Roman" w:eastAsia="SimSun"/>
                <w:i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 w:eastAsia="SimSun"/>
                <w:i/>
                <w:color w:val="auto"/>
                <w:sz w:val="20"/>
                <w:szCs w:val="20"/>
                <w:lang w:bidi="ar-SA"/>
              </w:rPr>
              <w:t xml:space="preserve">Подписано ЭЦП</w:t>
            </w:r>
            <w:r/>
          </w:p>
        </w:tc>
      </w:tr>
    </w:tbl>
    <w:p>
      <w:pP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r>
      <w:r/>
    </w:p>
    <w:p>
      <w:pPr>
        <w:jc w:val="center"/>
        <w:rPr>
          <w:rFonts w:ascii="Times New Roman" w:hAnsi="Times New Roman" w:cs="Times New Roman" w:eastAsia="Times New Roman"/>
          <w:color w:val="auto"/>
        </w:rPr>
      </w:pPr>
      <w:r>
        <w:rPr>
          <w:rFonts w:ascii="Times New Roman" w:hAnsi="Times New Roman" w:cs="Times New Roman" w:eastAsia="Times New Roman"/>
          <w:color w:val="auto"/>
        </w:rPr>
        <w:t xml:space="preserve">Прилагается отдельным файлом</w:t>
      </w:r>
      <w:r/>
    </w:p>
    <w:p>
      <w:pPr>
        <w:jc w:val="center"/>
        <w:rPr>
          <w:rFonts w:ascii="Times New Roman" w:hAnsi="Times New Roman" w:cs="Times New Roman" w:eastAsia="Times New Roman"/>
          <w:color w:val="auto"/>
        </w:rPr>
      </w:pPr>
      <w:r>
        <w:rPr>
          <w:rFonts w:ascii="Times New Roman" w:hAnsi="Times New Roman" w:cs="Times New Roman" w:eastAsia="Times New Roman"/>
          <w:color w:val="auto"/>
        </w:rPr>
      </w:r>
      <w:r/>
    </w:p>
    <w:p>
      <w:pPr>
        <w:jc w:val="center"/>
        <w:rPr>
          <w:rFonts w:ascii="Times New Roman" w:hAnsi="Times New Roman" w:cs="Times New Roman" w:eastAsia="Times New Roman"/>
          <w:color w:val="auto"/>
        </w:rPr>
      </w:pPr>
      <w:r>
        <w:rPr>
          <w:rFonts w:ascii="Times New Roman" w:hAnsi="Times New Roman" w:cs="Times New Roman" w:eastAsia="Times New Roman"/>
          <w:color w:val="auto"/>
        </w:rPr>
      </w:r>
      <w:r/>
    </w:p>
    <w:p>
      <w:pPr>
        <w:jc w:val="center"/>
        <w:rPr>
          <w:rFonts w:ascii="Times New Roman" w:hAnsi="Times New Roman" w:cs="Times New Roman" w:eastAsia="Times New Roman"/>
          <w:color w:val="auto"/>
        </w:rPr>
      </w:pPr>
      <w:r>
        <w:rPr>
          <w:rFonts w:ascii="Times New Roman" w:hAnsi="Times New Roman" w:cs="Times New Roman" w:eastAsia="Times New Roman"/>
          <w:color w:val="auto"/>
        </w:rPr>
      </w:r>
      <w:r/>
    </w:p>
    <w:p>
      <w:pPr>
        <w:jc w:val="center"/>
        <w:rPr>
          <w:rFonts w:ascii="Times New Roman" w:hAnsi="Times New Roman" w:cs="Times New Roman" w:eastAsia="Times New Roman"/>
          <w:color w:val="auto"/>
        </w:rPr>
      </w:pPr>
      <w:r>
        <w:rPr>
          <w:rFonts w:ascii="Times New Roman" w:hAnsi="Times New Roman" w:cs="Times New Roman" w:eastAsia="Times New Roman"/>
          <w:color w:val="auto"/>
        </w:rPr>
      </w:r>
      <w:r/>
    </w:p>
    <w:p>
      <w:pPr>
        <w:jc w:val="center"/>
        <w:rPr>
          <w:rFonts w:ascii="Times New Roman" w:hAnsi="Times New Roman" w:cs="Times New Roman" w:eastAsia="Times New Roman"/>
          <w:color w:val="auto"/>
        </w:rPr>
      </w:pPr>
      <w:r>
        <w:rPr>
          <w:rFonts w:ascii="Times New Roman" w:hAnsi="Times New Roman" w:cs="Times New Roman" w:eastAsia="Times New Roman"/>
          <w:color w:val="auto"/>
        </w:rPr>
      </w:r>
      <w:r/>
    </w:p>
    <w:p>
      <w:pPr>
        <w:jc w:val="center"/>
        <w:rPr>
          <w:rFonts w:ascii="Times New Roman" w:hAnsi="Times New Roman" w:cs="Times New Roman" w:eastAsia="Times New Roman"/>
          <w:color w:val="auto"/>
        </w:rPr>
      </w:pPr>
      <w:r>
        <w:rPr>
          <w:rFonts w:ascii="Times New Roman" w:hAnsi="Times New Roman" w:cs="Times New Roman" w:eastAsia="Times New Roman"/>
          <w:color w:val="auto"/>
        </w:rPr>
      </w:r>
      <w:r/>
    </w:p>
    <w:p>
      <w:pPr>
        <w:jc w:val="center"/>
        <w:rPr>
          <w:rFonts w:ascii="Times New Roman" w:hAnsi="Times New Roman" w:cs="Times New Roman" w:eastAsia="Times New Roman"/>
          <w:color w:val="auto"/>
        </w:rPr>
      </w:pPr>
      <w:r>
        <w:rPr>
          <w:rFonts w:ascii="Times New Roman" w:hAnsi="Times New Roman" w:cs="Times New Roman" w:eastAsia="Times New Roman"/>
          <w:color w:val="auto"/>
        </w:rPr>
      </w:r>
      <w:r/>
    </w:p>
    <w:p>
      <w:pP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r>
      <w:r/>
    </w:p>
    <w:p>
      <w:pP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r>
      <w:r/>
    </w:p>
    <w:p>
      <w:pP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pPr>
      <w:r>
        <w:rPr>
          <w:rFonts w:ascii="Times New Roman" w:hAnsi="Times New Roman" w:cs="Times New Roman" w:eastAsia="Times New Roman"/>
          <w:bCs/>
          <w:sz w:val="22"/>
          <w:szCs w:val="22"/>
          <w:lang w:bidi="ar-SA"/>
        </w:rPr>
      </w:r>
      <w:r/>
    </w:p>
    <w:p>
      <w:pPr>
        <w:ind w:firstLine="11"/>
        <w:spacing w:line="240" w:lineRule="atLeast"/>
        <w:widowControl/>
        <w:rPr>
          <w:rFonts w:ascii="Times New Roman" w:hAnsi="Times New Roman" w:cs="Times New Roman" w:eastAsia="SimSun"/>
          <w:i/>
          <w:color w:val="auto"/>
          <w:lang w:val="en-US" w:bidi="ar-SA"/>
        </w:rPr>
      </w:pPr>
      <w:r>
        <w:rPr>
          <w:rFonts w:ascii="Times New Roman" w:hAnsi="Times New Roman" w:cs="Times New Roman" w:eastAsia="SimSun"/>
          <w:i/>
          <w:color w:val="auto"/>
          <w:lang w:val="en-US" w:bidi="ar-SA"/>
        </w:rPr>
      </w:r>
      <w:r/>
    </w:p>
    <w:p>
      <w:pPr>
        <w:ind w:firstLine="11"/>
        <w:spacing w:line="240" w:lineRule="atLeast"/>
        <w:widowControl/>
        <w:rPr>
          <w:rFonts w:ascii="Times New Roman" w:hAnsi="Times New Roman" w:cs="Times New Roman" w:eastAsia="SimSun"/>
          <w:i/>
          <w:color w:val="auto"/>
          <w:lang w:bidi="ar-SA"/>
        </w:rPr>
        <w:sectPr>
          <w:footnotePr/>
          <w:endnotePr/>
          <w:type w:val="nextPage"/>
          <w:pgSz w:w="11906" w:h="16838" w:orient="portrait"/>
          <w:pgMar w:top="720" w:right="720" w:bottom="720" w:left="284" w:header="708" w:footer="708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 w:eastAsia="SimSun"/>
          <w:i/>
          <w:color w:val="auto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cs="Times New Roman" w:eastAsia="SimSun"/>
          <w:i/>
          <w:color w:val="auto"/>
          <w:lang w:bidi="ar-SA"/>
        </w:rPr>
      </w:pPr>
      <w:r>
        <w:rPr>
          <w:rFonts w:ascii="Times New Roman" w:hAnsi="Times New Roman" w:cs="Times New Roman" w:eastAsia="SimSun"/>
          <w:i/>
          <w:color w:val="auto"/>
          <w:lang w:bidi="ar-SA"/>
        </w:rPr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cs="Times New Roman" w:eastAsia="SimSun"/>
          <w:i/>
          <w:color w:val="auto"/>
          <w:lang w:bidi="ar-SA"/>
        </w:rPr>
      </w:pP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Приложение № 3</w:t>
      </w: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 к контракту</w:t>
      </w:r>
      <w:r/>
    </w:p>
    <w:p>
      <w:pPr>
        <w:ind w:firstLine="11"/>
        <w:jc w:val="right"/>
        <w:spacing w:line="240" w:lineRule="atLeast"/>
        <w:widowControl/>
        <w:rPr>
          <w:rFonts w:ascii="Times New Roman" w:hAnsi="Times New Roman" w:cs="Times New Roman" w:eastAsia="SimSun"/>
          <w:i/>
          <w:color w:val="auto"/>
          <w:lang w:bidi="ar-SA"/>
        </w:rPr>
      </w:pP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№ </w:t>
      </w: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___________</w:t>
      </w:r>
      <w:r>
        <w:rPr>
          <w:rFonts w:ascii="Times New Roman" w:hAnsi="Times New Roman" w:cs="Times New Roman" w:eastAsia="SimSun"/>
          <w:i/>
          <w:color w:val="auto"/>
          <w:lang w:bidi="ar-SA"/>
        </w:rPr>
        <w:t xml:space="preserve">от ____.____. 20__г.</w:t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cs="Times New Roman" w:eastAsia="SimSun"/>
          <w:i/>
          <w:color w:val="auto"/>
          <w:lang w:bidi="ar-SA"/>
        </w:rPr>
      </w:pPr>
      <w:r>
        <w:rPr>
          <w:rFonts w:ascii="Times New Roman" w:hAnsi="Times New Roman" w:cs="Times New Roman" w:eastAsia="SimSun"/>
          <w:i/>
          <w:color w:val="auto"/>
          <w:lang w:bidi="ar-SA"/>
        </w:rPr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cs="Times New Roman" w:eastAsia="SimSun"/>
          <w:i/>
          <w:color w:val="auto"/>
          <w:lang w:bidi="ar-SA"/>
        </w:rPr>
      </w:pPr>
      <w:r>
        <w:rPr>
          <w:rFonts w:ascii="Times New Roman" w:hAnsi="Times New Roman" w:cs="Times New Roman" w:eastAsia="SimSun"/>
          <w:i/>
          <w:color w:val="auto"/>
          <w:lang w:bidi="ar-SA"/>
        </w:rPr>
      </w:r>
      <w:r/>
    </w:p>
    <w:p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Декларация о соответствии </w:t>
      </w:r>
      <w:r>
        <w:rPr>
          <w:rFonts w:ascii="Times New Roman" w:hAnsi="Times New Roman" w:cs="Times New Roman"/>
          <w:sz w:val="22"/>
          <w:szCs w:val="22"/>
        </w:rPr>
        <w:t xml:space="preserve">Поставщика</w:t>
      </w:r>
      <w:r>
        <w:rPr>
          <w:rFonts w:ascii="Times New Roman" w:hAnsi="Times New Roman" w:cs="Times New Roman"/>
          <w:sz w:val="22"/>
          <w:szCs w:val="22"/>
        </w:rPr>
        <w:t xml:space="preserve">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</w:t>
      </w:r>
      <w:r/>
    </w:p>
    <w:p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/>
          <w:sz w:val="22"/>
          <w:szCs w:val="22"/>
        </w:rPr>
        <w:t xml:space="preserve"> подтверждает соответствие следующим единым требованиям: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Соответствие требованиям, установленным в соответствии с законодательством Российской Федерации к лицам, осуществляющим оказание услуг, являющихся предметом контракта;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Не проведение ликвидации </w:t>
      </w:r>
      <w:r>
        <w:rPr>
          <w:rFonts w:ascii="Times New Roman" w:hAnsi="Times New Roman" w:cs="Times New Roman"/>
          <w:sz w:val="22"/>
          <w:szCs w:val="22"/>
        </w:rPr>
        <w:t xml:space="preserve">Поставщиком</w:t>
      </w:r>
      <w:r>
        <w:rPr>
          <w:rFonts w:ascii="Times New Roman" w:hAnsi="Times New Roman" w:cs="Times New Roman"/>
          <w:sz w:val="22"/>
          <w:szCs w:val="22"/>
        </w:rPr>
        <w:t xml:space="preserve"> - юридического лица и отсутствие решения арбитражного суда о признании </w:t>
      </w:r>
      <w:r>
        <w:rPr>
          <w:rFonts w:ascii="Times New Roman" w:hAnsi="Times New Roman" w:cs="Times New Roman"/>
          <w:sz w:val="22"/>
          <w:szCs w:val="22"/>
        </w:rPr>
        <w:t xml:space="preserve">Поставщиком</w:t>
      </w:r>
      <w:r>
        <w:rPr>
          <w:rFonts w:ascii="Times New Roman" w:hAnsi="Times New Roman" w:cs="Times New Roman"/>
          <w:sz w:val="22"/>
          <w:szCs w:val="22"/>
        </w:rPr>
        <w:t xml:space="preserve"> - юридического лица или индивидуального предпринимателя несостоятельным (банкротом) и об открытии конкурсного производства;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Не приостановление деятельности </w:t>
      </w:r>
      <w:r>
        <w:rPr>
          <w:rFonts w:ascii="Times New Roman" w:hAnsi="Times New Roman" w:cs="Times New Roman"/>
          <w:sz w:val="22"/>
          <w:szCs w:val="22"/>
        </w:rPr>
        <w:t xml:space="preserve">Поставщика</w:t>
      </w:r>
      <w:r>
        <w:rPr>
          <w:rFonts w:ascii="Times New Roman" w:hAnsi="Times New Roman" w:cs="Times New Roman"/>
          <w:sz w:val="22"/>
          <w:szCs w:val="22"/>
        </w:rPr>
        <w:t xml:space="preserve"> в порядке, установленном Кодексом Российской Федерации об административных правонарушениях;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Отсутствие у </w:t>
      </w:r>
      <w:r>
        <w:rPr>
          <w:rFonts w:ascii="Times New Roman" w:hAnsi="Times New Roman" w:cs="Times New Roman"/>
          <w:sz w:val="22"/>
          <w:szCs w:val="22"/>
        </w:rPr>
        <w:t xml:space="preserve">Поставщика</w:t>
      </w:r>
      <w:r>
        <w:rPr>
          <w:rFonts w:ascii="Times New Roman" w:hAnsi="Times New Roman" w:cs="Times New Roman"/>
          <w:sz w:val="22"/>
          <w:szCs w:val="22"/>
        </w:rPr>
        <w:t xml:space="preserve">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</w:t>
      </w:r>
      <w:r>
        <w:rPr>
          <w:rFonts w:ascii="Times New Roman" w:hAnsi="Times New Roman" w:cs="Times New Roman"/>
          <w:sz w:val="22"/>
          <w:szCs w:val="22"/>
        </w:rPr>
        <w:t xml:space="preserve">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</w:t>
      </w:r>
      <w:r>
        <w:rPr>
          <w:rFonts w:ascii="Times New Roman" w:hAnsi="Times New Roman" w:cs="Times New Roman"/>
          <w:sz w:val="22"/>
          <w:szCs w:val="22"/>
        </w:rPr>
        <w:t xml:space="preserve">Поставщиком</w:t>
      </w:r>
      <w:r>
        <w:rPr>
          <w:rFonts w:ascii="Times New Roman" w:hAnsi="Times New Roman" w:cs="Times New Roman"/>
          <w:sz w:val="22"/>
          <w:szCs w:val="22"/>
        </w:rPr>
        <w:t xml:space="preserve">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</w:t>
      </w:r>
      <w:r>
        <w:rPr>
          <w:rFonts w:ascii="Times New Roman" w:hAnsi="Times New Roman" w:cs="Times New Roman"/>
          <w:sz w:val="22"/>
          <w:szCs w:val="22"/>
        </w:rPr>
        <w:t xml:space="preserve">Поставщика</w:t>
      </w:r>
      <w:r>
        <w:rPr>
          <w:rFonts w:ascii="Times New Roman" w:hAnsi="Times New Roman" w:cs="Times New Roman"/>
          <w:sz w:val="22"/>
          <w:szCs w:val="22"/>
        </w:rPr>
        <w:t xml:space="preserve">, по данным бухгалтерской отчетности за последний отчетный период. </w:t>
      </w:r>
      <w:r>
        <w:rPr>
          <w:rFonts w:ascii="Times New Roman" w:hAnsi="Times New Roman" w:cs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/>
          <w:sz w:val="22"/>
          <w:szCs w:val="22"/>
        </w:rPr>
        <w:t xml:space="preserve">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подписания контракта;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Отсутствие у </w:t>
      </w:r>
      <w:r>
        <w:rPr>
          <w:rFonts w:ascii="Times New Roman" w:hAnsi="Times New Roman" w:cs="Times New Roman"/>
          <w:sz w:val="22"/>
          <w:szCs w:val="22"/>
        </w:rPr>
        <w:t xml:space="preserve">Поставщика</w:t>
      </w:r>
      <w:r>
        <w:rPr>
          <w:rFonts w:ascii="Times New Roman" w:hAnsi="Times New Roman" w:cs="Times New Roman"/>
          <w:sz w:val="22"/>
          <w:szCs w:val="22"/>
        </w:rPr>
        <w:t xml:space="preserve"> - физического лица либо у руководителя, членов коллегиального </w:t>
      </w:r>
      <w:r>
        <w:rPr>
          <w:rFonts w:ascii="Times New Roman" w:hAnsi="Times New Roman" w:cs="Times New Roman"/>
          <w:sz w:val="22"/>
          <w:szCs w:val="22"/>
        </w:rPr>
        <w:t xml:space="preserve">исполн</w:t>
      </w:r>
      <w:r>
        <w:rPr>
          <w:rFonts w:ascii="Times New Roman" w:hAnsi="Times New Roman" w:cs="Times New Roman"/>
          <w:sz w:val="22"/>
          <w:szCs w:val="22"/>
        </w:rPr>
        <w:t xml:space="preserve">ительного органа, лица, </w:t>
      </w:r>
      <w:r>
        <w:rPr>
          <w:rFonts w:ascii="Times New Roman" w:hAnsi="Times New Roman" w:cs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/>
          <w:sz w:val="22"/>
          <w:szCs w:val="22"/>
        </w:rPr>
        <w:t xml:space="preserve"> функции единоличного </w:t>
      </w:r>
      <w:r>
        <w:rPr>
          <w:rFonts w:ascii="Times New Roman" w:hAnsi="Times New Roman" w:cs="Times New Roman"/>
          <w:sz w:val="22"/>
          <w:szCs w:val="22"/>
        </w:rPr>
        <w:t xml:space="preserve">исполнительного</w:t>
      </w:r>
      <w:r>
        <w:rPr>
          <w:rFonts w:ascii="Times New Roman" w:hAnsi="Times New Roman" w:cs="Times New Roman"/>
          <w:sz w:val="22"/>
          <w:szCs w:val="22"/>
        </w:rPr>
        <w:t xml:space="preserve"> органа, или главного бухгалтера юридического лица - </w:t>
      </w:r>
      <w:r>
        <w:rPr>
          <w:rFonts w:ascii="Times New Roman" w:hAnsi="Times New Roman" w:cs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/>
          <w:sz w:val="22"/>
          <w:szCs w:val="22"/>
        </w:rPr>
        <w:t xml:space="preserve">а</w:t>
      </w:r>
      <w:r>
        <w:rPr>
          <w:rFonts w:ascii="Times New Roman" w:hAnsi="Times New Roman" w:cs="Times New Roman"/>
          <w:sz w:val="22"/>
          <w:szCs w:val="22"/>
        </w:rPr>
        <w:t xml:space="preserve">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</w:t>
      </w:r>
      <w:r>
        <w:rPr>
          <w:rFonts w:ascii="Times New Roman" w:hAnsi="Times New Roman" w:cs="Times New Roman"/>
          <w:sz w:val="22"/>
          <w:szCs w:val="22"/>
        </w:rPr>
        <w:t xml:space="preserve">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оказанием услуги, являющихся предметом контракта, и административного наказания в виде дисквалификации;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Обладание </w:t>
      </w:r>
      <w:r>
        <w:rPr>
          <w:rFonts w:ascii="Times New Roman" w:hAnsi="Times New Roman" w:cs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/>
          <w:sz w:val="22"/>
          <w:szCs w:val="22"/>
        </w:rPr>
        <w:t xml:space="preserve">ом</w:t>
      </w:r>
      <w:r>
        <w:rPr>
          <w:rFonts w:ascii="Times New Roman" w:hAnsi="Times New Roman" w:cs="Times New Roman"/>
          <w:sz w:val="22"/>
          <w:szCs w:val="22"/>
        </w:rPr>
        <w:t xml:space="preserve"> исключительными правами на результаты интеллектуальной деятельности, если в связи с </w:t>
      </w:r>
      <w:r>
        <w:rPr>
          <w:rFonts w:ascii="Times New Roman" w:hAnsi="Times New Roman" w:cs="Times New Roman"/>
          <w:sz w:val="22"/>
          <w:szCs w:val="22"/>
        </w:rPr>
        <w:t xml:space="preserve">исполнением</w:t>
      </w:r>
      <w:r>
        <w:rPr>
          <w:rFonts w:ascii="Times New Roman" w:hAnsi="Times New Roman" w:cs="Times New Roman"/>
          <w:sz w:val="22"/>
          <w:szCs w:val="22"/>
        </w:rPr>
        <w:t xml:space="preserve">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</w:t>
      </w:r>
      <w:r>
        <w:rPr>
          <w:rFonts w:ascii="Times New Roman" w:hAnsi="Times New Roman" w:cs="Times New Roman"/>
          <w:sz w:val="22"/>
          <w:szCs w:val="22"/>
        </w:rPr>
        <w:t xml:space="preserve">исполнения</w:t>
      </w:r>
      <w:r>
        <w:rPr>
          <w:rFonts w:ascii="Times New Roman" w:hAnsi="Times New Roman" w:cs="Times New Roman"/>
          <w:sz w:val="22"/>
          <w:szCs w:val="22"/>
        </w:rPr>
        <w:t xml:space="preserve">, на финансирование проката или показа национального фильма;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Отсутствие между </w:t>
      </w:r>
      <w:r>
        <w:rPr>
          <w:rFonts w:ascii="Times New Roman" w:hAnsi="Times New Roman" w:cs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/>
          <w:sz w:val="22"/>
          <w:szCs w:val="22"/>
        </w:rPr>
        <w:t xml:space="preserve">ом</w:t>
      </w:r>
      <w:r>
        <w:rPr>
          <w:rFonts w:ascii="Times New Roman" w:hAnsi="Times New Roman" w:cs="Times New Roman"/>
          <w:sz w:val="22"/>
          <w:szCs w:val="22"/>
        </w:rPr>
        <w:t xml:space="preserve"> и Заказчиком конфликта интересов, под</w:t>
      </w:r>
      <w:r>
        <w:rPr>
          <w:rFonts w:ascii="Times New Roman" w:hAnsi="Times New Roman" w:cs="Times New Roman"/>
          <w:sz w:val="22"/>
          <w:szCs w:val="22"/>
        </w:rPr>
        <w:t xml:space="preserve"> которым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</w:t>
      </w:r>
      <w:r>
        <w:rPr>
          <w:rFonts w:ascii="Times New Roman" w:hAnsi="Times New Roman" w:cs="Times New Roman"/>
          <w:sz w:val="22"/>
          <w:szCs w:val="22"/>
        </w:rPr>
        <w:t xml:space="preserve">исполнительным</w:t>
      </w:r>
      <w:r>
        <w:rPr>
          <w:rFonts w:ascii="Times New Roman" w:hAnsi="Times New Roman" w:cs="Times New Roman"/>
          <w:sz w:val="22"/>
          <w:szCs w:val="22"/>
        </w:rPr>
        <w:t xml:space="preserve"> органом хозяйственного общества (директором, генеральным директором, управляющим, президентом и другими), членами коллегиального </w:t>
      </w:r>
      <w:r>
        <w:rPr>
          <w:rFonts w:ascii="Times New Roman" w:hAnsi="Times New Roman" w:cs="Times New Roman"/>
          <w:sz w:val="22"/>
          <w:szCs w:val="22"/>
        </w:rPr>
        <w:t xml:space="preserve">исполнительного</w:t>
      </w:r>
      <w:r>
        <w:rPr>
          <w:rFonts w:ascii="Times New Roman" w:hAnsi="Times New Roman" w:cs="Times New Roman"/>
          <w:sz w:val="22"/>
          <w:szCs w:val="22"/>
        </w:rPr>
        <w:t xml:space="preserve">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юридического лица - </w:t>
      </w:r>
      <w:r>
        <w:rPr>
          <w:rFonts w:ascii="Times New Roman" w:hAnsi="Times New Roman" w:cs="Times New Roman"/>
          <w:sz w:val="22"/>
          <w:szCs w:val="22"/>
        </w:rPr>
        <w:t xml:space="preserve">Поставщика</w:t>
      </w:r>
      <w:r>
        <w:rPr>
          <w:rFonts w:ascii="Times New Roman" w:hAnsi="Times New Roman" w:cs="Times New Roman"/>
          <w:sz w:val="22"/>
          <w:szCs w:val="22"/>
        </w:rPr>
        <w:t xml:space="preserve">, с физическим лицом, в том числе зарегистрированным в качестве индивидуального предпринимателя, - </w:t>
      </w:r>
      <w:r>
        <w:rPr>
          <w:rFonts w:ascii="Times New Roman" w:hAnsi="Times New Roman" w:cs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/>
          <w:sz w:val="22"/>
          <w:szCs w:val="22"/>
        </w:rPr>
        <w:t xml:space="preserve">ом</w:t>
      </w:r>
      <w:r>
        <w:rPr>
          <w:rFonts w:ascii="Times New Roman" w:hAnsi="Times New Roman" w:cs="Times New Roman"/>
          <w:sz w:val="22"/>
          <w:szCs w:val="22"/>
        </w:rPr>
        <w:t xml:space="preserve">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r>
        <w:rPr>
          <w:rFonts w:ascii="Times New Roman" w:hAnsi="Times New Roman" w:cs="Times New Roman"/>
          <w:sz w:val="22"/>
          <w:szCs w:val="22"/>
        </w:rPr>
        <w:t xml:space="preserve">неполнородными</w:t>
      </w:r>
      <w:r>
        <w:rPr>
          <w:rFonts w:ascii="Times New Roman" w:hAnsi="Times New Roman" w:cs="Times New Roman"/>
          <w:sz w:val="22"/>
          <w:szCs w:val="22"/>
        </w:rPr>
        <w:t xml:space="preserve"> (имеющими общих отца или мать) братьями и сестрами), усыновителями или усыновленными указанного физического лица. Под выгодоприобретателями здесь понимаются физически</w:t>
      </w:r>
      <w:r>
        <w:rPr>
          <w:rFonts w:ascii="Times New Roman" w:hAnsi="Times New Roman" w:cs="Times New Roman"/>
          <w:sz w:val="22"/>
          <w:szCs w:val="22"/>
        </w:rP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/>
    </w:p>
    <w:p>
      <w:pPr>
        <w:ind w:left="426" w:firstLine="425"/>
        <w:jc w:val="both"/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>
        <w:rPr>
          <w:rFonts w:ascii="Times New Roman" w:hAnsi="Times New Roman" w:cs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/>
          <w:sz w:val="22"/>
          <w:szCs w:val="22"/>
        </w:rPr>
        <w:t xml:space="preserve"> не является офшорной компанией, не имеет в составе участников (членов) корпоративного юридического лица</w:t>
      </w:r>
      <w:r>
        <w:rPr>
          <w:rFonts w:ascii="Times New Roman" w:hAnsi="Times New Roman" w:cs="Times New Roman"/>
          <w:sz w:val="22"/>
          <w:szCs w:val="22"/>
        </w:rPr>
        <w:t xml:space="preserve">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</w:t>
      </w:r>
      <w:r>
        <w:rPr>
          <w:rFonts w:ascii="Times New Roman" w:hAnsi="Times New Roman" w:cs="Times New Roman"/>
          <w:sz w:val="22"/>
          <w:szCs w:val="22"/>
        </w:rPr>
        <w:t xml:space="preserve">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  <w:r/>
    </w:p>
    <w:p>
      <w:pPr>
        <w:pStyle w:val="879"/>
        <w:numPr>
          <w:ilvl w:val="0"/>
          <w:numId w:val="3"/>
        </w:numPr>
        <w:ind w:left="0" w:right="0" w:firstLine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 w:eastAsiaTheme="minorHAnsi"/>
          <w:color w:val="auto"/>
          <w:sz w:val="22"/>
          <w:szCs w:val="22"/>
          <w:lang w:bidi="ar-SA" w:eastAsia="en-US"/>
        </w:rPr>
        <w:t xml:space="preserve">У</w:t>
      </w:r>
      <w:r>
        <w:rPr>
          <w:rFonts w:ascii="Times New Roman" w:hAnsi="Times New Roman" w:cs="Times New Roman" w:eastAsiaTheme="minorHAnsi"/>
          <w:color w:val="auto"/>
          <w:sz w:val="22"/>
          <w:szCs w:val="22"/>
          <w:lang w:bidi="ar-SA" w:eastAsia="en-US"/>
        </w:rPr>
        <w:t xml:space="preserve">частник закупки не является иностранным агентом</w:t>
      </w:r>
      <w:r>
        <w:rPr>
          <w:rFonts w:ascii="Times New Roman" w:hAnsi="Times New Roman" w:cs="Times New Roman" w:eastAsiaTheme="minorHAnsi"/>
          <w:color w:val="auto"/>
          <w:sz w:val="22"/>
          <w:szCs w:val="22"/>
          <w:lang w:bidi="ar-SA" w:eastAsia="en-US"/>
        </w:rPr>
        <w:t xml:space="preserve">.</w:t>
      </w:r>
      <w:r>
        <w:rPr>
          <w:rFonts w:ascii="Times New Roman" w:hAnsi="Times New Roman" w:cs="Times New Roman"/>
        </w:rPr>
      </w:r>
      <w:r/>
    </w:p>
    <w:p>
      <w:pPr>
        <w:ind w:left="425" w:right="0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- отсутствие у участника закупки ограничений для участия в закупках, установленных законодательством Российской Федерации.</w:t>
      </w:r>
      <w:r>
        <w:rPr>
          <w:rFonts w:ascii="Times New Roman" w:hAnsi="Times New Roman" w:cs="Times New Roman"/>
        </w:rPr>
      </w:r>
      <w:r/>
    </w:p>
    <w:p>
      <w:pPr>
        <w:ind w:left="425" w:right="0" w:firstLine="425"/>
        <w:jc w:val="both"/>
        <w:widowControl/>
        <w:rPr>
          <w:rFonts w:ascii="Times New Roman" w:hAnsi="Times New Roman" w:cs="Times New Roman"/>
          <w:color w:val="auto"/>
          <w:highlight w:val="none"/>
        </w:rPr>
      </w:pPr>
      <w:r>
        <w:rPr>
          <w:rFonts w:ascii="Times New Roman" w:hAnsi="Times New Roman" w:cs="Times New Roman" w:eastAsiaTheme="minorHAnsi"/>
          <w:color w:val="auto"/>
          <w:sz w:val="22"/>
          <w:szCs w:val="22"/>
          <w:lang w:bidi="ar-SA" w:eastAsia="en-US"/>
        </w:rPr>
        <w:t xml:space="preserve">Участник закупки не должен являться юридическим или физическим лицом, в отношении которого применяются специальные экономические меры, предусмотренные подпунктом а) пункта 2 Указа</w:t>
      </w:r>
      <w:r>
        <w:rPr>
          <w:rFonts w:ascii="Times New Roman" w:hAnsi="Times New Roman" w:cs="Times New Roman" w:eastAsiaTheme="minorHAnsi"/>
          <w:color w:val="auto"/>
          <w:sz w:val="22"/>
          <w:szCs w:val="22"/>
          <w:lang w:bidi="ar-SA" w:eastAsia="en-US"/>
        </w:rPr>
        <w:t xml:space="preserve">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  <w:r>
        <w:rPr>
          <w:rFonts w:ascii="Times New Roman" w:hAnsi="Times New Roman" w:cs="Times New Roman"/>
        </w:rPr>
      </w:r>
      <w:r/>
    </w:p>
    <w:p>
      <w:pPr>
        <w:ind w:left="425" w:right="0" w:firstLine="425"/>
        <w:jc w:val="both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Отсутствие в реестре недобросовестных поставщиков (подрядчиков, </w:t>
      </w:r>
      <w:r>
        <w:rPr>
          <w:rFonts w:ascii="Times New Roman" w:hAnsi="Times New Roman" w:cs="Times New Roman"/>
          <w:sz w:val="22"/>
          <w:szCs w:val="22"/>
        </w:rPr>
        <w:t xml:space="preserve">исполнителей</w:t>
      </w:r>
      <w:r>
        <w:rPr>
          <w:rFonts w:ascii="Times New Roman" w:hAnsi="Times New Roman" w:cs="Times New Roman"/>
          <w:sz w:val="22"/>
          <w:szCs w:val="22"/>
        </w:rPr>
        <w:t xml:space="preserve">) информации о </w:t>
      </w:r>
      <w:r>
        <w:rPr>
          <w:rFonts w:ascii="Times New Roman" w:hAnsi="Times New Roman" w:cs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/>
          <w:sz w:val="22"/>
          <w:szCs w:val="22"/>
        </w:rPr>
        <w:t xml:space="preserve">е</w:t>
      </w:r>
      <w:r>
        <w:rPr>
          <w:rFonts w:ascii="Times New Roman" w:hAnsi="Times New Roman" w:cs="Times New Roman"/>
          <w:sz w:val="22"/>
          <w:szCs w:val="22"/>
        </w:rPr>
        <w:t xml:space="preserve">, в том числе информации об учредителях, о членах коллегиального </w:t>
      </w:r>
      <w:r>
        <w:rPr>
          <w:rFonts w:ascii="Times New Roman" w:hAnsi="Times New Roman" w:cs="Times New Roman"/>
          <w:sz w:val="22"/>
          <w:szCs w:val="22"/>
        </w:rPr>
        <w:t xml:space="preserve">исполнительного</w:t>
      </w:r>
      <w:r>
        <w:rPr>
          <w:rFonts w:ascii="Times New Roman" w:hAnsi="Times New Roman" w:cs="Times New Roman"/>
          <w:sz w:val="22"/>
          <w:szCs w:val="22"/>
        </w:rPr>
        <w:t xml:space="preserve"> органа, лице, </w:t>
      </w:r>
      <w:r>
        <w:rPr>
          <w:rFonts w:ascii="Times New Roman" w:hAnsi="Times New Roman" w:cs="Times New Roman"/>
          <w:sz w:val="22"/>
          <w:szCs w:val="22"/>
        </w:rPr>
        <w:t xml:space="preserve">исполняющем</w:t>
      </w:r>
      <w:r>
        <w:rPr>
          <w:rFonts w:ascii="Times New Roman" w:hAnsi="Times New Roman" w:cs="Times New Roman"/>
          <w:sz w:val="22"/>
          <w:szCs w:val="22"/>
        </w:rPr>
        <w:t xml:space="preserve"> функции единоличного </w:t>
      </w:r>
      <w:r>
        <w:rPr>
          <w:rFonts w:ascii="Times New Roman" w:hAnsi="Times New Roman" w:cs="Times New Roman"/>
          <w:sz w:val="22"/>
          <w:szCs w:val="22"/>
        </w:rPr>
        <w:t xml:space="preserve">исполнительного</w:t>
      </w:r>
      <w:r>
        <w:rPr>
          <w:rFonts w:ascii="Times New Roman" w:hAnsi="Times New Roman" w:cs="Times New Roman"/>
          <w:sz w:val="22"/>
          <w:szCs w:val="22"/>
        </w:rPr>
        <w:t xml:space="preserve"> органа </w:t>
      </w:r>
      <w:r>
        <w:rPr>
          <w:rFonts w:ascii="Times New Roman" w:hAnsi="Times New Roman" w:cs="Times New Roman"/>
          <w:sz w:val="22"/>
          <w:szCs w:val="22"/>
        </w:rPr>
        <w:t xml:space="preserve">Поставщик</w:t>
      </w:r>
      <w:r>
        <w:rPr>
          <w:rFonts w:ascii="Times New Roman" w:hAnsi="Times New Roman" w:cs="Times New Roman"/>
          <w:sz w:val="22"/>
          <w:szCs w:val="22"/>
        </w:rPr>
        <w:t xml:space="preserve">а</w:t>
      </w:r>
      <w:r>
        <w:rPr>
          <w:rFonts w:ascii="Times New Roman" w:hAnsi="Times New Roman" w:cs="Times New Roman"/>
          <w:sz w:val="22"/>
          <w:szCs w:val="22"/>
        </w:rPr>
        <w:t xml:space="preserve"> - юридического лица.</w:t>
      </w:r>
      <w:r/>
    </w:p>
    <w:p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 w:firstLine="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ПОСТАВЩИК</w:t>
      </w:r>
      <w:r>
        <w:rPr>
          <w:rFonts w:ascii="Times New Roman" w:hAnsi="Times New Roman" w:cs="Times New Roman"/>
          <w:b/>
          <w:sz w:val="22"/>
          <w:szCs w:val="22"/>
        </w:rPr>
        <w:t xml:space="preserve">:</w:t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/>
    </w:p>
    <w:p>
      <w:pPr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____________________/ ________________</w:t>
      </w:r>
      <w:r/>
    </w:p>
    <w:p>
      <w:pPr>
        <w:ind w:left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sz w:val="22"/>
          <w:szCs w:val="22"/>
        </w:rPr>
        <w:t xml:space="preserve">Подписано ЭЦП</w:t>
      </w:r>
      <w:r/>
    </w:p>
    <w:p>
      <w:pPr>
        <w:ind w:firstLine="11"/>
        <w:jc w:val="both"/>
        <w:spacing w:line="240" w:lineRule="atLeast"/>
        <w:widowControl/>
        <w:rPr>
          <w:rFonts w:ascii="Times New Roman" w:hAnsi="Times New Roman" w:cs="Times New Roman" w:eastAsia="SimSun"/>
          <w:i/>
          <w:color w:val="auto"/>
          <w:lang w:bidi="ar-SA"/>
        </w:rPr>
      </w:pPr>
      <w:r>
        <w:rPr>
          <w:rFonts w:ascii="Times New Roman" w:hAnsi="Times New Roman" w:cs="Times New Roman" w:eastAsia="SimSun"/>
          <w:i/>
          <w:color w:val="auto"/>
          <w:lang w:bidi="ar-SA"/>
        </w:rPr>
      </w:r>
      <w:r/>
    </w:p>
    <w:sectPr>
      <w:footnotePr/>
      <w:endnotePr/>
      <w:type w:val="nextPage"/>
      <w:pgSz w:w="11906" w:h="16838" w:orient="portrait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imSun">
    <w:panose1 w:val="02010600030101010101"/>
  </w:font>
  <w:font w:name="Symbol">
    <w:panose1 w:val="05050102010706020507"/>
  </w:font>
  <w:font w:name="Wingdings">
    <w:panose1 w:val="05000000000000000000"/>
  </w:font>
  <w:font w:name="Segoe UI">
    <w:panose1 w:val="020B0502040204020203"/>
  </w:font>
  <w:font w:name="Times New Roman">
    <w:panose1 w:val="02020603050405020304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870"/>
        <w:rPr>
          <w:i/>
        </w:rPr>
      </w:pPr>
      <w:r>
        <w:rPr>
          <w:rStyle w:val="916"/>
          <w:i/>
        </w:rPr>
        <w:t xml:space="preserve">*</w:t>
      </w:r>
      <w:r>
        <w:rPr>
          <w:i/>
        </w:rPr>
        <w:t xml:space="preserve"> </w:t>
      </w:r>
      <w:r>
        <w:rPr>
          <w:i/>
          <w:color w:val="993300"/>
          <w:sz w:val="18"/>
          <w:szCs w:val="18"/>
        </w:rPr>
        <w:t xml:space="preserve">при упрощенной системе налогообложения НДС не облагается;</w:t>
      </w:r>
      <w:r/>
    </w:p>
  </w:footnote>
  <w:footnote w:id="3">
    <w:p>
      <w:pPr>
        <w:pStyle w:val="870"/>
        <w:rPr>
          <w:i/>
        </w:rPr>
      </w:pPr>
      <w:r>
        <w:rPr>
          <w:rStyle w:val="916"/>
          <w:i/>
        </w:rPr>
        <w:t xml:space="preserve">**</w:t>
      </w:r>
      <w:r>
        <w:rPr>
          <w:i/>
        </w:rPr>
        <w:t xml:space="preserve"> </w:t>
      </w:r>
      <w:r>
        <w:rPr>
          <w:i/>
          <w:color w:val="993300"/>
          <w:sz w:val="18"/>
          <w:szCs w:val="18"/>
        </w:rPr>
        <w:t xml:space="preserve">при упрощенной системе налогообложения счет-фактура не требуется;</w:t>
      </w:r>
      <w:r/>
    </w:p>
  </w:footnote>
  <w:footnote w:id="4">
    <w:p>
      <w:pPr>
        <w:pStyle w:val="870"/>
        <w:rPr>
          <w:color w:val="843B0B"/>
        </w:rPr>
      </w:pPr>
      <w:r>
        <w:rPr>
          <w:rStyle w:val="916"/>
          <w:color w:val="843B0B" w:themeColor="accent2" w:themeShade="80"/>
        </w:rPr>
        <w:t xml:space="preserve">*</w:t>
      </w:r>
      <w:r>
        <w:rPr>
          <w:color w:val="843B0B" w:themeColor="accent2" w:themeShade="80"/>
        </w:rPr>
        <w:t xml:space="preserve"> </w:t>
      </w:r>
      <w:r>
        <w:rPr>
          <w:i/>
          <w:color w:val="843B0B" w:themeColor="accent2" w:themeShade="80"/>
          <w:sz w:val="16"/>
          <w:szCs w:val="16"/>
        </w:rPr>
        <w:t xml:space="preserve">при упрощенной системе налогообложения </w:t>
      </w:r>
      <w:r>
        <w:rPr>
          <w:i/>
          <w:color w:val="843B0B" w:themeColor="accent2" w:themeShade="80"/>
          <w:sz w:val="16"/>
          <w:szCs w:val="16"/>
        </w:rPr>
        <w:t xml:space="preserve">счет-фактура не требуется</w:t>
      </w:r>
      <w:r>
        <w:rPr>
          <w:color w:val="843B0B" w:themeColor="accent2" w:themeShade="80"/>
        </w:rPr>
      </w:r>
      <w:r/>
    </w:p>
  </w:footnote>
  <w:footnote w:id="5">
    <w:p>
      <w:pPr>
        <w:pStyle w:val="870"/>
        <w:rPr>
          <w:i/>
          <w:color w:val="C00000"/>
          <w:sz w:val="18"/>
          <w:szCs w:val="18"/>
        </w:rPr>
      </w:pPr>
      <w:r>
        <w:rPr>
          <w:rStyle w:val="916"/>
          <w:i/>
          <w:color w:val="C00000"/>
          <w:sz w:val="18"/>
          <w:szCs w:val="18"/>
        </w:rPr>
        <w:t xml:space="preserve">*</w:t>
      </w:r>
      <w:r>
        <w:rPr>
          <w:i/>
          <w:color w:val="C00000"/>
          <w:sz w:val="18"/>
          <w:szCs w:val="18"/>
        </w:rPr>
        <w:t xml:space="preserve"> Заполняется в соответствии с предложением участника определения поставщика, признанного победителем электронного аукциона.</w:t>
      </w:r>
      <w:r/>
    </w:p>
  </w:footnote>
  <w:footnote w:id="6">
    <w:p>
      <w:pPr>
        <w:pStyle w:val="870"/>
      </w:pPr>
      <w:r>
        <w:rPr>
          <w:rStyle w:val="916"/>
          <w:i/>
          <w:color w:val="C00000"/>
          <w:sz w:val="18"/>
          <w:szCs w:val="18"/>
        </w:rPr>
        <w:t xml:space="preserve">**</w:t>
      </w:r>
      <w:r>
        <w:rPr>
          <w:i/>
          <w:color w:val="C00000"/>
          <w:sz w:val="18"/>
          <w:szCs w:val="18"/>
        </w:rPr>
        <w:t xml:space="preserve"> При упрощенной системе налогообложения без НДС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63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8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0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2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4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6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8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0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23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5">
    <w:name w:val="Heading 1"/>
    <w:basedOn w:val="866"/>
    <w:next w:val="866"/>
    <w:link w:val="696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696">
    <w:name w:val="Heading 1 Char"/>
    <w:basedOn w:val="867"/>
    <w:link w:val="695"/>
    <w:uiPriority w:val="9"/>
    <w:rPr>
      <w:rFonts w:ascii="Arial" w:hAnsi="Arial" w:cs="Arial" w:eastAsia="Arial"/>
      <w:sz w:val="40"/>
      <w:szCs w:val="40"/>
    </w:rPr>
  </w:style>
  <w:style w:type="paragraph" w:styleId="697">
    <w:name w:val="Heading 2"/>
    <w:basedOn w:val="866"/>
    <w:next w:val="866"/>
    <w:link w:val="69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698">
    <w:name w:val="Heading 2 Char"/>
    <w:basedOn w:val="867"/>
    <w:link w:val="697"/>
    <w:uiPriority w:val="9"/>
    <w:rPr>
      <w:rFonts w:ascii="Arial" w:hAnsi="Arial" w:cs="Arial" w:eastAsia="Arial"/>
      <w:sz w:val="34"/>
    </w:rPr>
  </w:style>
  <w:style w:type="paragraph" w:styleId="699">
    <w:name w:val="Heading 3"/>
    <w:basedOn w:val="866"/>
    <w:next w:val="866"/>
    <w:link w:val="70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00">
    <w:name w:val="Heading 3 Char"/>
    <w:basedOn w:val="867"/>
    <w:link w:val="699"/>
    <w:uiPriority w:val="9"/>
    <w:rPr>
      <w:rFonts w:ascii="Arial" w:hAnsi="Arial" w:cs="Arial" w:eastAsia="Arial"/>
      <w:sz w:val="30"/>
      <w:szCs w:val="30"/>
    </w:rPr>
  </w:style>
  <w:style w:type="paragraph" w:styleId="701">
    <w:name w:val="Heading 4"/>
    <w:basedOn w:val="866"/>
    <w:next w:val="866"/>
    <w:link w:val="70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02">
    <w:name w:val="Heading 4 Char"/>
    <w:basedOn w:val="867"/>
    <w:link w:val="701"/>
    <w:uiPriority w:val="9"/>
    <w:rPr>
      <w:rFonts w:ascii="Arial" w:hAnsi="Arial" w:cs="Arial" w:eastAsia="Arial"/>
      <w:b/>
      <w:bCs/>
      <w:sz w:val="26"/>
      <w:szCs w:val="26"/>
    </w:rPr>
  </w:style>
  <w:style w:type="paragraph" w:styleId="703">
    <w:name w:val="Heading 5"/>
    <w:basedOn w:val="866"/>
    <w:next w:val="866"/>
    <w:link w:val="70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04">
    <w:name w:val="Heading 5 Char"/>
    <w:basedOn w:val="867"/>
    <w:link w:val="703"/>
    <w:uiPriority w:val="9"/>
    <w:rPr>
      <w:rFonts w:ascii="Arial" w:hAnsi="Arial" w:cs="Arial" w:eastAsia="Arial"/>
      <w:b/>
      <w:bCs/>
      <w:sz w:val="24"/>
      <w:szCs w:val="24"/>
    </w:rPr>
  </w:style>
  <w:style w:type="paragraph" w:styleId="705">
    <w:name w:val="Heading 6"/>
    <w:basedOn w:val="866"/>
    <w:next w:val="866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06">
    <w:name w:val="Heading 6 Char"/>
    <w:basedOn w:val="867"/>
    <w:link w:val="705"/>
    <w:uiPriority w:val="9"/>
    <w:rPr>
      <w:rFonts w:ascii="Arial" w:hAnsi="Arial" w:cs="Arial" w:eastAsia="Arial"/>
      <w:b/>
      <w:bCs/>
      <w:sz w:val="22"/>
      <w:szCs w:val="22"/>
    </w:rPr>
  </w:style>
  <w:style w:type="paragraph" w:styleId="707">
    <w:name w:val="Heading 7"/>
    <w:basedOn w:val="866"/>
    <w:next w:val="866"/>
    <w:link w:val="70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08">
    <w:name w:val="Heading 7 Char"/>
    <w:basedOn w:val="867"/>
    <w:link w:val="70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09">
    <w:name w:val="Heading 8"/>
    <w:basedOn w:val="866"/>
    <w:next w:val="866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10">
    <w:name w:val="Heading 8 Char"/>
    <w:basedOn w:val="867"/>
    <w:link w:val="709"/>
    <w:uiPriority w:val="9"/>
    <w:rPr>
      <w:rFonts w:ascii="Arial" w:hAnsi="Arial" w:cs="Arial" w:eastAsia="Arial"/>
      <w:i/>
      <w:iCs/>
      <w:sz w:val="22"/>
      <w:szCs w:val="22"/>
    </w:rPr>
  </w:style>
  <w:style w:type="paragraph" w:styleId="711">
    <w:name w:val="Heading 9"/>
    <w:basedOn w:val="866"/>
    <w:next w:val="866"/>
    <w:link w:val="71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12">
    <w:name w:val="Heading 9 Char"/>
    <w:basedOn w:val="867"/>
    <w:link w:val="711"/>
    <w:uiPriority w:val="9"/>
    <w:rPr>
      <w:rFonts w:ascii="Arial" w:hAnsi="Arial" w:cs="Arial" w:eastAsia="Arial"/>
      <w:i/>
      <w:iCs/>
      <w:sz w:val="21"/>
      <w:szCs w:val="21"/>
    </w:rPr>
  </w:style>
  <w:style w:type="character" w:styleId="713">
    <w:name w:val="Title Char"/>
    <w:basedOn w:val="867"/>
    <w:link w:val="918"/>
    <w:uiPriority w:val="10"/>
    <w:rPr>
      <w:sz w:val="48"/>
      <w:szCs w:val="48"/>
    </w:rPr>
  </w:style>
  <w:style w:type="paragraph" w:styleId="714">
    <w:name w:val="Subtitle"/>
    <w:basedOn w:val="866"/>
    <w:next w:val="866"/>
    <w:link w:val="715"/>
    <w:uiPriority w:val="11"/>
    <w:qFormat/>
    <w:pPr>
      <w:spacing w:before="200" w:after="200"/>
    </w:pPr>
    <w:rPr>
      <w:sz w:val="24"/>
      <w:szCs w:val="24"/>
    </w:rPr>
  </w:style>
  <w:style w:type="character" w:styleId="715">
    <w:name w:val="Subtitle Char"/>
    <w:basedOn w:val="867"/>
    <w:link w:val="714"/>
    <w:uiPriority w:val="11"/>
    <w:rPr>
      <w:sz w:val="24"/>
      <w:szCs w:val="24"/>
    </w:rPr>
  </w:style>
  <w:style w:type="paragraph" w:styleId="716">
    <w:name w:val="Quote"/>
    <w:basedOn w:val="866"/>
    <w:next w:val="866"/>
    <w:link w:val="717"/>
    <w:uiPriority w:val="29"/>
    <w:qFormat/>
    <w:pPr>
      <w:ind w:left="720" w:right="720"/>
    </w:pPr>
    <w:rPr>
      <w:i/>
    </w:rPr>
  </w:style>
  <w:style w:type="character" w:styleId="717">
    <w:name w:val="Quote Char"/>
    <w:link w:val="716"/>
    <w:uiPriority w:val="29"/>
    <w:rPr>
      <w:i/>
    </w:rPr>
  </w:style>
  <w:style w:type="paragraph" w:styleId="718">
    <w:name w:val="Intense Quote"/>
    <w:basedOn w:val="866"/>
    <w:next w:val="866"/>
    <w:link w:val="71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9">
    <w:name w:val="Intense Quote Char"/>
    <w:link w:val="718"/>
    <w:uiPriority w:val="30"/>
    <w:rPr>
      <w:i/>
    </w:rPr>
  </w:style>
  <w:style w:type="paragraph" w:styleId="720">
    <w:name w:val="Header"/>
    <w:basedOn w:val="86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1">
    <w:name w:val="Header Char"/>
    <w:basedOn w:val="867"/>
    <w:link w:val="720"/>
    <w:uiPriority w:val="99"/>
  </w:style>
  <w:style w:type="paragraph" w:styleId="722">
    <w:name w:val="Footer"/>
    <w:basedOn w:val="866"/>
    <w:link w:val="72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3">
    <w:name w:val="Footer Char"/>
    <w:basedOn w:val="867"/>
    <w:link w:val="722"/>
    <w:uiPriority w:val="99"/>
  </w:style>
  <w:style w:type="paragraph" w:styleId="724">
    <w:name w:val="Caption"/>
    <w:basedOn w:val="866"/>
    <w:next w:val="8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>
    <w:name w:val="Caption Char"/>
    <w:basedOn w:val="724"/>
    <w:link w:val="722"/>
    <w:uiPriority w:val="99"/>
  </w:style>
  <w:style w:type="table" w:styleId="726">
    <w:name w:val="Table Grid Light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>
    <w:name w:val="Plain Table 1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2"/>
    <w:basedOn w:val="86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0">
    <w:name w:val="Plain Table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Plain Table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2">
    <w:name w:val="Grid Table 1 Light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4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4">
    <w:name w:val="Grid Table 4 - Accent 1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5">
    <w:name w:val="Grid Table 4 - Accent 2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6">
    <w:name w:val="Grid Table 4 - Accent 3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7">
    <w:name w:val="Grid Table 4 - Accent 4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8">
    <w:name w:val="Grid Table 4 - Accent 5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9">
    <w:name w:val="Grid Table 4 - Accent 6"/>
    <w:basedOn w:val="8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0">
    <w:name w:val="Grid Table 5 Dark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1">
    <w:name w:val="Grid Table 5 Dark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4">
    <w:name w:val="Grid Table 5 Dark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7">
    <w:name w:val="Grid Table 6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8">
    <w:name w:val="Grid Table 6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9">
    <w:name w:val="Grid Table 6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0">
    <w:name w:val="Grid Table 6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1">
    <w:name w:val="Grid Table 6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2">
    <w:name w:val="Grid Table 6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6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4">
    <w:name w:val="Grid Table 7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9">
    <w:name w:val="List Table 2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0">
    <w:name w:val="List Table 2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1">
    <w:name w:val="List Table 2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2">
    <w:name w:val="List Table 2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3">
    <w:name w:val="List Table 2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4">
    <w:name w:val="List Table 2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5">
    <w:name w:val="List Table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5 Dark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6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7">
    <w:name w:val="List Table 6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8">
    <w:name w:val="List Table 6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9">
    <w:name w:val="List Table 6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0">
    <w:name w:val="List Table 6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1">
    <w:name w:val="List Table 6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2">
    <w:name w:val="List Table 6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3">
    <w:name w:val="List Table 7 Colorful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4">
    <w:name w:val="List Table 7 Colorful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25">
    <w:name w:val="List Table 7 Colorful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6">
    <w:name w:val="List Table 7 Colorful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7">
    <w:name w:val="List Table 7 Colorful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8">
    <w:name w:val="List Table 7 Colorful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29">
    <w:name w:val="List Table 7 Colorful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30">
    <w:name w:val="Lined - Accent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Lined - Accent 1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2">
    <w:name w:val="Lined - Accent 2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3">
    <w:name w:val="Lined - Accent 3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4">
    <w:name w:val="Lined - Accent 4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5">
    <w:name w:val="Lined - Accent 5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6">
    <w:name w:val="Lined - Accent 6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7">
    <w:name w:val="Bordered &amp; Lined - Accent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8">
    <w:name w:val="Bordered &amp; Lined - Accent 1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9">
    <w:name w:val="Bordered &amp; Lined - Accent 2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0">
    <w:name w:val="Bordered &amp; Lined - Accent 3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1">
    <w:name w:val="Bordered &amp; Lined - Accent 4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2">
    <w:name w:val="Bordered &amp; Lined - Accent 5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3">
    <w:name w:val="Bordered &amp; Lined - Accent 6"/>
    <w:basedOn w:val="8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4">
    <w:name w:val="Bordered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5">
    <w:name w:val="Bordered - Accent 1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6">
    <w:name w:val="Bordered - Accent 2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7">
    <w:name w:val="Bordered - Accent 3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8">
    <w:name w:val="Bordered - Accent 4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9">
    <w:name w:val="Bordered - Accent 5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0">
    <w:name w:val="Bordered - Accent 6"/>
    <w:basedOn w:val="8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1">
    <w:name w:val="Footnote Text Char"/>
    <w:link w:val="870"/>
    <w:uiPriority w:val="99"/>
    <w:rPr>
      <w:sz w:val="18"/>
    </w:rPr>
  </w:style>
  <w:style w:type="paragraph" w:styleId="852">
    <w:name w:val="endnote text"/>
    <w:basedOn w:val="866"/>
    <w:link w:val="853"/>
    <w:uiPriority w:val="99"/>
    <w:semiHidden/>
    <w:unhideWhenUsed/>
    <w:pPr>
      <w:spacing w:after="0" w:line="240" w:lineRule="auto"/>
    </w:pPr>
    <w:rPr>
      <w:sz w:val="20"/>
    </w:rPr>
  </w:style>
  <w:style w:type="character" w:styleId="853">
    <w:name w:val="Endnote Text Char"/>
    <w:link w:val="852"/>
    <w:uiPriority w:val="99"/>
    <w:rPr>
      <w:sz w:val="20"/>
    </w:rPr>
  </w:style>
  <w:style w:type="character" w:styleId="854">
    <w:name w:val="endnote reference"/>
    <w:basedOn w:val="867"/>
    <w:uiPriority w:val="99"/>
    <w:semiHidden/>
    <w:unhideWhenUsed/>
    <w:rPr>
      <w:vertAlign w:val="superscript"/>
    </w:rPr>
  </w:style>
  <w:style w:type="paragraph" w:styleId="855">
    <w:name w:val="toc 1"/>
    <w:basedOn w:val="866"/>
    <w:next w:val="866"/>
    <w:uiPriority w:val="39"/>
    <w:unhideWhenUsed/>
    <w:pPr>
      <w:ind w:left="0" w:right="0" w:firstLine="0"/>
      <w:spacing w:after="57"/>
    </w:pPr>
  </w:style>
  <w:style w:type="paragraph" w:styleId="856">
    <w:name w:val="toc 2"/>
    <w:basedOn w:val="866"/>
    <w:next w:val="866"/>
    <w:uiPriority w:val="39"/>
    <w:unhideWhenUsed/>
    <w:pPr>
      <w:ind w:left="283" w:right="0" w:firstLine="0"/>
      <w:spacing w:after="57"/>
    </w:pPr>
  </w:style>
  <w:style w:type="paragraph" w:styleId="857">
    <w:name w:val="toc 3"/>
    <w:basedOn w:val="866"/>
    <w:next w:val="866"/>
    <w:uiPriority w:val="39"/>
    <w:unhideWhenUsed/>
    <w:pPr>
      <w:ind w:left="567" w:right="0" w:firstLine="0"/>
      <w:spacing w:after="57"/>
    </w:pPr>
  </w:style>
  <w:style w:type="paragraph" w:styleId="858">
    <w:name w:val="toc 4"/>
    <w:basedOn w:val="866"/>
    <w:next w:val="866"/>
    <w:uiPriority w:val="39"/>
    <w:unhideWhenUsed/>
    <w:pPr>
      <w:ind w:left="850" w:right="0" w:firstLine="0"/>
      <w:spacing w:after="57"/>
    </w:pPr>
  </w:style>
  <w:style w:type="paragraph" w:styleId="859">
    <w:name w:val="toc 5"/>
    <w:basedOn w:val="866"/>
    <w:next w:val="866"/>
    <w:uiPriority w:val="39"/>
    <w:unhideWhenUsed/>
    <w:pPr>
      <w:ind w:left="1134" w:right="0" w:firstLine="0"/>
      <w:spacing w:after="57"/>
    </w:pPr>
  </w:style>
  <w:style w:type="paragraph" w:styleId="860">
    <w:name w:val="toc 6"/>
    <w:basedOn w:val="866"/>
    <w:next w:val="866"/>
    <w:uiPriority w:val="39"/>
    <w:unhideWhenUsed/>
    <w:pPr>
      <w:ind w:left="1417" w:right="0" w:firstLine="0"/>
      <w:spacing w:after="57"/>
    </w:pPr>
  </w:style>
  <w:style w:type="paragraph" w:styleId="861">
    <w:name w:val="toc 7"/>
    <w:basedOn w:val="866"/>
    <w:next w:val="866"/>
    <w:uiPriority w:val="39"/>
    <w:unhideWhenUsed/>
    <w:pPr>
      <w:ind w:left="1701" w:right="0" w:firstLine="0"/>
      <w:spacing w:after="57"/>
    </w:pPr>
  </w:style>
  <w:style w:type="paragraph" w:styleId="862">
    <w:name w:val="toc 8"/>
    <w:basedOn w:val="866"/>
    <w:next w:val="866"/>
    <w:uiPriority w:val="39"/>
    <w:unhideWhenUsed/>
    <w:pPr>
      <w:ind w:left="1984" w:right="0" w:firstLine="0"/>
      <w:spacing w:after="57"/>
    </w:pPr>
  </w:style>
  <w:style w:type="paragraph" w:styleId="863">
    <w:name w:val="toc 9"/>
    <w:basedOn w:val="866"/>
    <w:next w:val="866"/>
    <w:uiPriority w:val="39"/>
    <w:unhideWhenUsed/>
    <w:pPr>
      <w:ind w:left="2268" w:right="0" w:firstLine="0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866"/>
    <w:next w:val="866"/>
    <w:uiPriority w:val="99"/>
    <w:unhideWhenUsed/>
    <w:pPr>
      <w:spacing w:after="0" w:afterAutospacing="0"/>
    </w:pPr>
  </w:style>
  <w:style w:type="paragraph" w:styleId="866" w:default="1">
    <w:name w:val="Normal"/>
    <w:pPr>
      <w:spacing w:after="0" w:line="240" w:lineRule="auto"/>
      <w:widowControl w:val="off"/>
    </w:pPr>
    <w:rPr>
      <w:rFonts w:ascii="Courier New" w:hAnsi="Courier New" w:cs="Courier New" w:eastAsia="Courier New"/>
      <w:color w:val="000000"/>
      <w:sz w:val="24"/>
      <w:szCs w:val="24"/>
      <w:lang w:bidi="ru-RU" w:eastAsia="ru-RU"/>
    </w:rPr>
  </w:style>
  <w:style w:type="character" w:styleId="867" w:default="1">
    <w:name w:val="Default Paragraph Font"/>
    <w:uiPriority w:val="1"/>
    <w:semiHidden/>
    <w:unhideWhenUsed/>
  </w:style>
  <w:style w:type="table" w:styleId="8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9" w:default="1">
    <w:name w:val="No List"/>
    <w:uiPriority w:val="99"/>
    <w:semiHidden/>
    <w:unhideWhenUsed/>
  </w:style>
  <w:style w:type="paragraph" w:styleId="870">
    <w:name w:val="footnote text"/>
    <w:basedOn w:val="866"/>
    <w:link w:val="872"/>
    <w:uiPriority w:val="99"/>
    <w:qFormat/>
    <w:pPr>
      <w:widowControl/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character" w:styleId="871" w:customStyle="1">
    <w:name w:val="Текст сноски Знак"/>
    <w:basedOn w:val="867"/>
    <w:uiPriority w:val="99"/>
    <w:semiHidden/>
    <w:rPr>
      <w:rFonts w:ascii="Courier New" w:hAnsi="Courier New" w:cs="Courier New" w:eastAsia="Courier New"/>
      <w:color w:val="000000"/>
      <w:sz w:val="20"/>
      <w:szCs w:val="20"/>
      <w:lang w:bidi="ru-RU" w:eastAsia="ru-RU"/>
    </w:rPr>
  </w:style>
  <w:style w:type="character" w:styleId="872" w:customStyle="1">
    <w:name w:val="Текст сноски Знак1"/>
    <w:link w:val="870"/>
    <w:uiPriority w:val="99"/>
    <w:rPr>
      <w:rFonts w:ascii="Times New Roman" w:hAnsi="Times New Roman" w:cs="Times New Roman" w:eastAsia="Times New Roman"/>
      <w:sz w:val="20"/>
      <w:szCs w:val="20"/>
      <w:lang w:eastAsia="ru-RU"/>
    </w:rPr>
  </w:style>
  <w:style w:type="paragraph" w:styleId="873">
    <w:name w:val="Body Text"/>
    <w:basedOn w:val="866"/>
    <w:link w:val="875"/>
    <w:qFormat/>
    <w:pPr>
      <w:jc w:val="both"/>
      <w:widowControl/>
    </w:pPr>
    <w:rPr>
      <w:rFonts w:ascii="Times New Roman" w:hAnsi="Times New Roman" w:cs="Times New Roman" w:eastAsia="Times New Roman"/>
      <w:color w:val="auto"/>
      <w:lang w:bidi="ar-SA" w:eastAsia="ar-SA"/>
    </w:rPr>
  </w:style>
  <w:style w:type="character" w:styleId="874" w:customStyle="1">
    <w:name w:val="Основной текст Знак"/>
    <w:basedOn w:val="867"/>
    <w:uiPriority w:val="99"/>
    <w:semiHidden/>
    <w:rPr>
      <w:rFonts w:ascii="Courier New" w:hAnsi="Courier New" w:cs="Courier New" w:eastAsia="Courier New"/>
      <w:color w:val="000000"/>
      <w:sz w:val="24"/>
      <w:szCs w:val="24"/>
      <w:lang w:bidi="ru-RU" w:eastAsia="ru-RU"/>
    </w:rPr>
  </w:style>
  <w:style w:type="character" w:styleId="875" w:customStyle="1">
    <w:name w:val="Основной текст Знак1"/>
    <w:link w:val="873"/>
    <w:rPr>
      <w:rFonts w:ascii="Times New Roman" w:hAnsi="Times New Roman" w:cs="Times New Roman" w:eastAsia="Times New Roman"/>
      <w:sz w:val="24"/>
      <w:szCs w:val="24"/>
      <w:lang w:eastAsia="ar-SA"/>
    </w:rPr>
  </w:style>
  <w:style w:type="paragraph" w:styleId="876">
    <w:name w:val="Balloon Text"/>
    <w:basedOn w:val="866"/>
    <w:link w:val="877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77" w:customStyle="1">
    <w:name w:val="Текст выноски Знак"/>
    <w:basedOn w:val="867"/>
    <w:link w:val="876"/>
    <w:uiPriority w:val="99"/>
    <w:semiHidden/>
    <w:rPr>
      <w:rFonts w:ascii="Segoe UI" w:hAnsi="Segoe UI" w:cs="Segoe UI" w:eastAsia="Courier New"/>
      <w:color w:val="000000"/>
      <w:sz w:val="18"/>
      <w:szCs w:val="18"/>
      <w:lang w:bidi="ru-RU" w:eastAsia="ru-RU"/>
    </w:rPr>
  </w:style>
  <w:style w:type="numbering" w:styleId="878" w:customStyle="1">
    <w:name w:val="Нет списка1"/>
    <w:next w:val="869"/>
    <w:uiPriority w:val="99"/>
    <w:semiHidden/>
    <w:unhideWhenUsed/>
  </w:style>
  <w:style w:type="paragraph" w:styleId="879">
    <w:name w:val="List Paragraph"/>
    <w:basedOn w:val="866"/>
    <w:qFormat/>
    <w:pPr>
      <w:contextualSpacing/>
      <w:ind w:left="720"/>
      <w:widowControl/>
    </w:pPr>
    <w:rPr>
      <w:rFonts w:ascii="Times New Roman" w:hAnsi="Times New Roman" w:cs="Times New Roman" w:eastAsia="Times New Roman"/>
      <w:color w:val="auto"/>
      <w:lang w:bidi="ar-SA"/>
    </w:rPr>
  </w:style>
  <w:style w:type="character" w:styleId="880">
    <w:name w:val="Strong"/>
    <w:basedOn w:val="867"/>
    <w:uiPriority w:val="22"/>
    <w:qFormat/>
    <w:rPr>
      <w:b/>
      <w:bCs/>
    </w:rPr>
  </w:style>
  <w:style w:type="character" w:styleId="881" w:customStyle="1">
    <w:name w:val="apple-converted-space"/>
    <w:basedOn w:val="867"/>
  </w:style>
  <w:style w:type="paragraph" w:styleId="882">
    <w:name w:val="Normal (Web)"/>
    <w:basedOn w:val="866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cs="Times New Roman" w:eastAsia="Times New Roman"/>
      <w:color w:val="auto"/>
      <w:lang w:bidi="ar-SA"/>
    </w:rPr>
  </w:style>
  <w:style w:type="paragraph" w:styleId="883" w:customStyle="1">
    <w:name w:val="Без интервала1"/>
    <w:next w:val="911"/>
    <w:uiPriority w:val="1"/>
    <w:qFormat/>
    <w:pPr>
      <w:spacing w:after="0" w:line="240" w:lineRule="auto"/>
    </w:pPr>
  </w:style>
  <w:style w:type="character" w:styleId="884" w:customStyle="1">
    <w:name w:val="ff0"/>
    <w:basedOn w:val="867"/>
  </w:style>
  <w:style w:type="character" w:styleId="885" w:customStyle="1">
    <w:name w:val="ff1"/>
    <w:basedOn w:val="867"/>
  </w:style>
  <w:style w:type="character" w:styleId="886" w:customStyle="1">
    <w:name w:val="fs20"/>
    <w:basedOn w:val="867"/>
  </w:style>
  <w:style w:type="table" w:styleId="887" w:customStyle="1">
    <w:name w:val="Сетка таблицы1"/>
    <w:basedOn w:val="868"/>
    <w:next w:val="912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8">
    <w:name w:val="Hyperlink"/>
    <w:basedOn w:val="867"/>
    <w:uiPriority w:val="99"/>
    <w:unhideWhenUsed/>
    <w:rPr>
      <w:color w:val="0000FF"/>
      <w:u w:val="single"/>
    </w:rPr>
  </w:style>
  <w:style w:type="character" w:styleId="889">
    <w:name w:val="FollowedHyperlink"/>
    <w:basedOn w:val="867"/>
    <w:uiPriority w:val="99"/>
    <w:semiHidden/>
    <w:unhideWhenUsed/>
    <w:rPr>
      <w:color w:val="800080"/>
      <w:u w:val="single"/>
    </w:rPr>
  </w:style>
  <w:style w:type="paragraph" w:styleId="890" w:customStyle="1">
    <w:name w:val="msonormal"/>
    <w:basedOn w:val="866"/>
    <w:pPr>
      <w:spacing w:before="100" w:beforeAutospacing="1" w:after="100" w:afterAutospacing="1"/>
      <w:widowControl/>
    </w:pPr>
    <w:rPr>
      <w:rFonts w:ascii="Times New Roman" w:hAnsi="Times New Roman" w:cs="Times New Roman" w:eastAsia="Times New Roman"/>
      <w:color w:val="auto"/>
      <w:lang w:bidi="ar-SA"/>
    </w:rPr>
  </w:style>
  <w:style w:type="paragraph" w:styleId="891" w:customStyle="1">
    <w:name w:val="xl65"/>
    <w:basedOn w:val="866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892" w:customStyle="1">
    <w:name w:val="xl66"/>
    <w:basedOn w:val="866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893" w:customStyle="1">
    <w:name w:val="xl67"/>
    <w:basedOn w:val="866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894" w:customStyle="1">
    <w:name w:val="xl68"/>
    <w:basedOn w:val="866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895" w:customStyle="1">
    <w:name w:val="xl69"/>
    <w:basedOn w:val="866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896" w:customStyle="1">
    <w:name w:val="xl70"/>
    <w:basedOn w:val="866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897" w:customStyle="1">
    <w:name w:val="xl71"/>
    <w:basedOn w:val="866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898" w:customStyle="1">
    <w:name w:val="xl72"/>
    <w:basedOn w:val="866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899" w:customStyle="1">
    <w:name w:val="xl73"/>
    <w:basedOn w:val="866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900" w:customStyle="1">
    <w:name w:val="xl74"/>
    <w:basedOn w:val="866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901" w:customStyle="1">
    <w:name w:val="xl75"/>
    <w:basedOn w:val="866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902" w:customStyle="1">
    <w:name w:val="xl76"/>
    <w:basedOn w:val="866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903" w:customStyle="1">
    <w:name w:val="xl77"/>
    <w:basedOn w:val="866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904" w:customStyle="1">
    <w:name w:val="xl78"/>
    <w:basedOn w:val="866"/>
    <w:pPr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905" w:customStyle="1">
    <w:name w:val="xl79"/>
    <w:basedOn w:val="866"/>
    <w:pPr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906" w:customStyle="1">
    <w:name w:val="xl80"/>
    <w:basedOn w:val="866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907" w:customStyle="1">
    <w:name w:val="xl81"/>
    <w:basedOn w:val="866"/>
    <w:pPr>
      <w:jc w:val="center"/>
      <w:spacing w:before="100" w:beforeAutospacing="1" w:after="100" w:afterAutospacing="1"/>
      <w:widowControl/>
      <w:pBdr>
        <w:left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908" w:customStyle="1">
    <w:name w:val="xl82"/>
    <w:basedOn w:val="866"/>
    <w:pPr>
      <w:jc w:val="center"/>
      <w:spacing w:before="100" w:beforeAutospacing="1" w:after="100" w:afterAutospacing="1"/>
      <w:widowControl/>
      <w:pBdr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909" w:customStyle="1">
    <w:name w:val="xl83"/>
    <w:basedOn w:val="866"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910" w:customStyle="1">
    <w:name w:val="xl84"/>
    <w:basedOn w:val="866"/>
    <w:pPr>
      <w:jc w:val="center"/>
      <w:spacing w:before="100" w:beforeAutospacing="1" w:after="100" w:afterAutospacing="1"/>
      <w:widowControl/>
      <w:pBdr>
        <w:top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sz w:val="20"/>
      <w:szCs w:val="20"/>
      <w:lang w:bidi="ar-SA"/>
    </w:rPr>
  </w:style>
  <w:style w:type="paragraph" w:styleId="911">
    <w:name w:val="No Spacing"/>
    <w:uiPriority w:val="1"/>
    <w:qFormat/>
    <w:pPr>
      <w:spacing w:after="0" w:line="240" w:lineRule="auto"/>
      <w:widowControl w:val="off"/>
    </w:pPr>
    <w:rPr>
      <w:rFonts w:ascii="Courier New" w:hAnsi="Courier New" w:cs="Courier New" w:eastAsia="Courier New"/>
      <w:color w:val="000000"/>
      <w:sz w:val="24"/>
      <w:szCs w:val="24"/>
      <w:lang w:bidi="ru-RU" w:eastAsia="ru-RU"/>
    </w:rPr>
  </w:style>
  <w:style w:type="table" w:styleId="912">
    <w:name w:val="Table Grid"/>
    <w:basedOn w:val="868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3" w:customStyle="1">
    <w:name w:val="xl63"/>
    <w:basedOn w:val="866"/>
    <w:pPr>
      <w:spacing w:before="100" w:beforeAutospacing="1" w:after="100" w:afterAutospacing="1"/>
      <w:widowControl/>
    </w:pPr>
    <w:rPr>
      <w:rFonts w:ascii="Times New Roman" w:hAnsi="Times New Roman" w:cs="Times New Roman" w:eastAsia="Times New Roman"/>
      <w:color w:val="auto"/>
      <w:lang w:bidi="ar-SA"/>
    </w:rPr>
  </w:style>
  <w:style w:type="paragraph" w:styleId="914" w:customStyle="1">
    <w:name w:val="xl64"/>
    <w:basedOn w:val="866"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cs="Times New Roman" w:eastAsia="Times New Roman"/>
      <w:color w:val="auto"/>
      <w:lang w:bidi="ar-SA"/>
    </w:rPr>
  </w:style>
  <w:style w:type="character" w:styleId="915" w:customStyle="1">
    <w:name w:val="wmi-callto"/>
    <w:basedOn w:val="867"/>
  </w:style>
  <w:style w:type="character" w:styleId="916">
    <w:name w:val="footnote reference"/>
    <w:basedOn w:val="867"/>
    <w:uiPriority w:val="99"/>
    <w:unhideWhenUsed/>
    <w:qFormat/>
    <w:rPr>
      <w:vertAlign w:val="superscript"/>
    </w:rPr>
  </w:style>
  <w:style w:type="character" w:styleId="917">
    <w:name w:val="Emphasis"/>
    <w:basedOn w:val="867"/>
    <w:uiPriority w:val="20"/>
    <w:qFormat/>
    <w:rPr>
      <w:i/>
      <w:iCs/>
    </w:rPr>
  </w:style>
  <w:style w:type="paragraph" w:styleId="918">
    <w:name w:val="Title"/>
    <w:basedOn w:val="866"/>
    <w:next w:val="866"/>
    <w:link w:val="919"/>
    <w:uiPriority w:val="10"/>
    <w:qFormat/>
    <w:pPr>
      <w:contextualSpacing/>
      <w:widowControl/>
    </w:pPr>
    <w:rPr>
      <w:rFonts w:asciiTheme="majorHAnsi" w:hAnsiTheme="majorHAnsi" w:eastAsiaTheme="majorEastAsia" w:cstheme="majorBidi"/>
      <w:color w:val="auto"/>
      <w:spacing w:val="-10"/>
      <w:sz w:val="56"/>
      <w:szCs w:val="56"/>
      <w:lang w:bidi="ar-SA"/>
    </w:rPr>
  </w:style>
  <w:style w:type="character" w:styleId="919" w:customStyle="1">
    <w:name w:val="Название Знак"/>
    <w:basedOn w:val="867"/>
    <w:link w:val="918"/>
    <w:uiPriority w:val="10"/>
    <w:rPr>
      <w:rFonts w:asciiTheme="majorHAnsi" w:hAnsiTheme="majorHAnsi" w:eastAsiaTheme="majorEastAsia" w:cstheme="majorBidi"/>
      <w:spacing w:val="-10"/>
      <w:sz w:val="56"/>
      <w:szCs w:val="56"/>
      <w:lang w:eastAsia="ru-RU"/>
    </w:rPr>
  </w:style>
  <w:style w:type="paragraph" w:styleId="920" w:customStyle="1">
    <w:name w:val="ConsPlusNormal"/>
    <w:qFormat/>
    <w:pPr>
      <w:ind w:firstLine="720"/>
      <w:spacing w:after="0" w:line="240" w:lineRule="auto"/>
      <w:widowControl w:val="off"/>
    </w:pPr>
    <w:rPr>
      <w:rFonts w:ascii="Arial" w:hAnsi="Arial" w:cs="Arial" w:eastAsia="Times New Roman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ГБДОУ 24</dc:creator>
  <cp:revision>21</cp:revision>
  <dcterms:created xsi:type="dcterms:W3CDTF">2022-11-07T11:51:00Z</dcterms:created>
  <dcterms:modified xsi:type="dcterms:W3CDTF">2024-02-19T10:37:40Z</dcterms:modified>
</cp:coreProperties>
</file>