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77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324"/>
        <w:gridCol w:w="271"/>
        <w:gridCol w:w="271"/>
        <w:gridCol w:w="271"/>
        <w:gridCol w:w="81"/>
      </w:tblGrid>
      <w:tr w:rsidR="008702DA" w:rsidTr="0034452E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 w:rsidP="0034452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ЛИЦЕНЗИОННЫЙ ДОГОВОР № 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893" w:type="dxa"/>
            <w:gridSpan w:val="11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г. Санкт-Петербург</w: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82" w:type="dxa"/>
            <w:gridSpan w:val="10"/>
            <w:shd w:val="clear" w:color="auto" w:fill="auto"/>
            <w:vAlign w:val="bottom"/>
          </w:tcPr>
          <w:p w:rsidR="008702DA" w:rsidRDefault="0034452E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_______________ 2024</w:t>
            </w:r>
            <w:r w:rsidR="002607AE">
              <w:rPr>
                <w:rFonts w:ascii="Times New Roman" w:hAnsi="Times New Roman"/>
                <w:b/>
                <w:sz w:val="20"/>
                <w:szCs w:val="20"/>
              </w:rPr>
              <w:t> г.</w: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 w:rsidP="0034452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="0034452E">
              <w:rPr>
                <w:rFonts w:ascii="Times New Roman" w:hAnsi="Times New Roman"/>
                <w:sz w:val="20"/>
                <w:szCs w:val="20"/>
              </w:rPr>
              <w:t>________________________________________________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, именуемое в дальнейшем «ЛИЦЕНЗИАР», в лице  , действующей на основании УСТАВА, с одной стороны и ГБОУ ШКОЛА № 523 САНКТ-ПЕТЕРБУРГА, в лице  , действующего на основании УСТАВА, имену</w:t>
            </w:r>
            <w:r>
              <w:rPr>
                <w:rFonts w:ascii="Times New Roman" w:hAnsi="Times New Roman"/>
                <w:sz w:val="20"/>
                <w:szCs w:val="20"/>
              </w:rPr>
              <w:t>емое в дальнейшем «ЛИЦЕНЗИАТ», с другой стороны, совместно именуемые «СТОРОНЫ», заключили настоящий Договор о нижеследующем: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1. ПРЕДМЕТ ДОГОВОРА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1.1. ЛИЦЕНЗИАР, являясь разработчиком и обладателем исключительных прав на использование программных продуктов для ЭВМ (далее – ПП), предоставляет ЛИЦЕНЗИАТУ неисключительные срочные права на использование (пр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остая неисключительная лицензия) следующих ПП: 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8702DA" w:rsidRDefault="008702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8702DA" w:rsidRDefault="008702DA">
            <w:pPr>
              <w:jc w:val="center"/>
              <w:rPr>
                <w:b/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8702DA" w:rsidRDefault="008702DA">
            <w:pPr>
              <w:jc w:val="center"/>
              <w:rPr>
                <w:b/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8702DA" w:rsidRDefault="008702DA">
            <w:pPr>
              <w:jc w:val="center"/>
              <w:rPr>
                <w:b/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8702DA" w:rsidRDefault="008702DA">
            <w:pPr>
              <w:jc w:val="center"/>
              <w:rPr>
                <w:b/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8702DA" w:rsidRDefault="008702DA">
            <w:pPr>
              <w:jc w:val="center"/>
              <w:rPr>
                <w:b/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8702DA" w:rsidRDefault="008702DA">
            <w:pPr>
              <w:jc w:val="center"/>
              <w:rPr>
                <w:b/>
                <w:szCs w:val="16"/>
              </w:rPr>
            </w:pPr>
          </w:p>
        </w:tc>
        <w:tc>
          <w:tcPr>
            <w:tcW w:w="315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tcBorders>
              <w:top w:val="none" w:sz="5" w:space="0" w:color="auto"/>
              <w:left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419" w:type="dxa"/>
            <w:gridSpan w:val="1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 лицензии ПП</w:t>
            </w:r>
          </w:p>
        </w:tc>
        <w:tc>
          <w:tcPr>
            <w:tcW w:w="78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лицензий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(шт.)</w:t>
            </w:r>
          </w:p>
        </w:tc>
        <w:tc>
          <w:tcPr>
            <w:tcW w:w="131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Номер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свидетельства о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государственной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регистрации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программы для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ЭВМ</w:t>
            </w:r>
          </w:p>
        </w:tc>
        <w:tc>
          <w:tcPr>
            <w:tcW w:w="105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Номер записи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в Едином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реест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ре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российских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программ для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ЭВМ и БД</w:t>
            </w:r>
          </w:p>
        </w:tc>
        <w:tc>
          <w:tcPr>
            <w:tcW w:w="78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Срок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лицензии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(мес.)</w:t>
            </w:r>
          </w:p>
        </w:tc>
        <w:tc>
          <w:tcPr>
            <w:tcW w:w="1578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Тел./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email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технической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поддержки</w:t>
            </w:r>
          </w:p>
        </w:tc>
        <w:tc>
          <w:tcPr>
            <w:tcW w:w="136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Размер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лицензионного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вознаграждения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(руб.)*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419" w:type="dxa"/>
            <w:gridSpan w:val="1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Астрал-ЭТ .Программный продукт "Астрал-ЭТ" (сроком на 1 год) по тарифу "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Рособрнадзор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"</w:t>
            </w:r>
          </w:p>
        </w:tc>
        <w:tc>
          <w:tcPr>
            <w:tcW w:w="78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1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8702DA" w:rsidRDefault="00EF1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578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2 000,00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* согласно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26 п. 2 ст. 149 НК РФ не облагается НДС передача прав на использование программ для электронных вычислительных машин и баз данных (включая обновления к ним и дополнительные функциональные возможности), включенные в единый рее</w:t>
            </w:r>
            <w:r>
              <w:rPr>
                <w:rFonts w:ascii="Times New Roman" w:hAnsi="Times New Roman"/>
                <w:sz w:val="20"/>
                <w:szCs w:val="20"/>
              </w:rPr>
              <w:t>стр российских программ для электронных вычислительных машин и баз данных, в том числе путем предоставления удаленного доступа к ним через информационно-телекоммуникационную сеть "Интернет".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1.2. Права на ПП передаются для целей его использования ЛИЦЕНЗИАТОМ по прямому функциональному назначению, в соответствии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  документацией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регламентирующей работу ПП, расположенной в сети «Интернет» по адресу http://wiki.astral.ru (дале</w:t>
            </w:r>
            <w:r>
              <w:rPr>
                <w:rFonts w:ascii="Times New Roman" w:hAnsi="Times New Roman"/>
                <w:sz w:val="20"/>
                <w:szCs w:val="20"/>
              </w:rPr>
              <w:t>е – Документация на ПП) и пользовательским соглашением. В процессе использования ПП ЛИЦЕНЗИАТ вправе обращаться в техническую поддержку по вопросам использования ПП.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1.3. Права на ПП, предусмотренные п. 1.1 Договора, считаются предоставленными ЛИЦЕ</w:t>
            </w:r>
            <w:r>
              <w:rPr>
                <w:rFonts w:ascii="Times New Roman" w:hAnsi="Times New Roman"/>
                <w:sz w:val="20"/>
                <w:szCs w:val="20"/>
              </w:rPr>
              <w:t>НЗИАТУ с даты поступления на расчетный счет ЛИЦЕНЗИАРА суммы лицензионного вознаграждения. Срок лицензии исчисляется в соответствии с п. 3.1. Договора.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2. ПОРЯДОК ВЫПЛАТЫ ЛИЦЕНЗИОННОГО ВОЗНАГРАЖДЕНИЯ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 w:rsidP="00EF107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2.1. ЛИЦЕНЗИАТ обязуется осуществить выплату ЛИЦЕНЗИАРУ лицензионного вознаграждения согла</w:t>
            </w:r>
            <w:r w:rsidR="00EF107C">
              <w:rPr>
                <w:rFonts w:ascii="Times New Roman" w:hAnsi="Times New Roman"/>
                <w:sz w:val="20"/>
                <w:szCs w:val="20"/>
              </w:rPr>
              <w:t>сно п. 1.1 Договора, в течение 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EF107C">
              <w:rPr>
                <w:rFonts w:ascii="Times New Roman" w:hAnsi="Times New Roman"/>
                <w:sz w:val="20"/>
                <w:szCs w:val="20"/>
              </w:rPr>
              <w:t>десяти</w:t>
            </w:r>
            <w:r>
              <w:rPr>
                <w:rFonts w:ascii="Times New Roman" w:hAnsi="Times New Roman"/>
                <w:sz w:val="20"/>
                <w:szCs w:val="20"/>
              </w:rPr>
              <w:t>) рабочих дней с даты заключения Договора, путем перечисления денежных средств на расчетный счет ЛИЦЕНЗИАРА.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3. ПОРЯДОК ПРЕДОСТАВЛЕНИЯ ДОСТУПА К ПП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3.1. ЛИЦЕНЗИАР в течение 3 (трех) рабочих дней с даты поступления денежных средств в счет оплаты ПП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расчетныйсчет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ЛИЦЕНЗИАРА,   направляет на указанный в разделе 6 Договора адрес электронной почты ЛИЦЕНЗИАТА инструкцию по получению доступа к ПП. Ср</w:t>
            </w:r>
            <w:r>
              <w:rPr>
                <w:rFonts w:ascii="Times New Roman" w:hAnsi="Times New Roman"/>
                <w:sz w:val="20"/>
                <w:szCs w:val="20"/>
              </w:rPr>
              <w:t>ок лицензии начинает исчисляться по истечении 5 (пяти) рабочих дней с даты направления инструкции ЛИЦЕНЗИАТУ, если подключение к ПП ЛИЦЕНЗИАТОМ не было осуществлено в более короткий срок.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3.2. ЛИЦЕНЗИАР в течение 5 (пяти) рабочих дней с даты поступления денежных средств на расчетный счет ЛИЦЕНЗИАРА в счет оплаты лицензионного вознаграждения обязуется передать ЛИЦЕНЗИАТУ универсальный передаточный документ (УПД), путем его направления н</w:t>
            </w:r>
            <w:r>
              <w:rPr>
                <w:rFonts w:ascii="Times New Roman" w:hAnsi="Times New Roman"/>
                <w:sz w:val="20"/>
                <w:szCs w:val="20"/>
              </w:rPr>
              <w:t>а электронный адрес, указанный ЛИЦЕНЗИАТОМ, или посредством системы электронного документооборота. ЛИЦЕНЗИАТ обязуется подписать и направить в адрес ЛИЦЕНЗИАРА один экземпляр УПД в срок не позднее, чем по истечении 5 (пяти) рабочих дней с даты его получени</w:t>
            </w:r>
            <w:r>
              <w:rPr>
                <w:rFonts w:ascii="Times New Roman" w:hAnsi="Times New Roman"/>
                <w:sz w:val="20"/>
                <w:szCs w:val="20"/>
              </w:rPr>
              <w:t>я. По   истечении указанного срока, в случае непредставления подписанного ЛИЦЕНЗИАТОМ УПД, обязательства ЛИЦЕНЗИАРА по предоставлению доступа к ПП считаются исполненными надлежащим образом, а подписанный ЛИЦЕНЗИАРОМ УПД имеющим полную юридическую силу.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4. ОСОБЫЕ УСЛОВИЯ. ОТВЕТСТВЕННОСТЬ СТОРОН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4.1. Размер ответственности СТОРОН по Договору ограничен и не может составлять более 50% от стоимости приобретенной лицензии на ПП.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4.2. ЛИЦЕНЗИАР гарантирует работоспособность ПП при соблюдении условий Документации на ПП и пользовательского соглашения. ПП предоставляется ЛИЦЕНЗИАТУ «как есть» («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»), ЛИЦЕНЗИАР не гарантирует ЛИЦЕНЗИАТУ, что функциональные возможности ПП будут </w:t>
            </w:r>
            <w:r>
              <w:rPr>
                <w:rFonts w:ascii="Times New Roman" w:hAnsi="Times New Roman"/>
                <w:sz w:val="20"/>
                <w:szCs w:val="20"/>
              </w:rPr>
              <w:t>соответствовать ожиданиям ЛИЦЕНЗИАТА. При заключении Договора ЛИЦЕНЗИАТ подтверждает факт ознакомления с документацией на ПП. ЛИЦЕНЗИАР вправе вносить изменения в Документацию на ПП, путем ее публикации по адресу http://wiki.astral.ru.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4.3. ЛИЦЕНЗИ</w:t>
            </w:r>
            <w:r>
              <w:rPr>
                <w:rFonts w:ascii="Times New Roman" w:hAnsi="Times New Roman"/>
                <w:sz w:val="20"/>
                <w:szCs w:val="20"/>
              </w:rPr>
              <w:t>АР не несет ответственность за возможный ущерб, включая упущенную выгоду, возникшие в процессе/результате использования ПП или невозможности использования ПП.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4.4.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СТОРОНЫ и которые нельзя предвидеть или избежать, включая объявленную или фактическую </w:t>
            </w:r>
            <w:r>
              <w:rPr>
                <w:rFonts w:ascii="Times New Roman" w:hAnsi="Times New Roman"/>
                <w:sz w:val="20"/>
                <w:szCs w:val="20"/>
              </w:rPr>
              <w:t>войну, гражданские волнения, блокаду, землетрясение, наводнение, пожары и другие стихийные бедствия (форс-мажор). СТОРОНА для которой наступили обстоятельства непреодолимой силы обязана не позднее трех календарных дней со дня наступления таких обстоятельст</w:t>
            </w:r>
            <w:r>
              <w:rPr>
                <w:rFonts w:ascii="Times New Roman" w:hAnsi="Times New Roman"/>
                <w:sz w:val="20"/>
                <w:szCs w:val="20"/>
              </w:rPr>
              <w:t>в уведомить другую СТОРОНУ о начале, ожидаемом сроке действия и прекращения указанных обстоятельств. Факты, содержащиеся в уведомлении должны быть подтверждены документом выданным Торгово-промышленной палатой РФ или иным уполномоченным государственным орга</w:t>
            </w:r>
            <w:r>
              <w:rPr>
                <w:rFonts w:ascii="Times New Roman" w:hAnsi="Times New Roman"/>
                <w:sz w:val="20"/>
                <w:szCs w:val="20"/>
              </w:rPr>
              <w:t>ном.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4.5. Все споры, возникающие из настоящего Договора, подлежат разрешению в суде по месту нахождения ЛИЦЕНЗИАРА.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5. ПРОЧИЕ УСЛОВИЯ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5.1. Договор составлен на 2 (двух) листах, в 2 (двух) имеющих одинаковую юридическую силу экземплярах, по одному для каждой из СТОРОН.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5.2. СТОРОНЫ признают надлежащим подписание Договора, дополнительных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соглашений путем обмена отсканированными копиями по электронным адресам, указанным в разделе 6 Договора. Такие документы считаются подписанными простой электронной подписью и приравниваются к документам на бумажном носителе до момента обмена оригиналами с</w:t>
            </w:r>
            <w:r>
              <w:rPr>
                <w:rFonts w:ascii="Times New Roman" w:hAnsi="Times New Roman"/>
                <w:sz w:val="20"/>
                <w:szCs w:val="20"/>
              </w:rPr>
              <w:t>оответствующих документов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5.3. Договор может быть заключен путем использования систем электронного документооборота.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0309" w:type="dxa"/>
            <w:gridSpan w:val="39"/>
            <w:shd w:val="clear" w:color="auto" w:fill="auto"/>
            <w:vAlign w:val="bottom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 РЕКВИЗИТЫ И ПОДПИСИ СТОРОН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bottom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ЛИЦЕНЗИАР:</w: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bottom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ЛИЦЕНЗИАТ: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b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b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center"/>
          </w:tcPr>
          <w:p w:rsidR="008702DA" w:rsidRDefault="008702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center"/>
          </w:tcPr>
          <w:p w:rsidR="008702DA" w:rsidRDefault="002607A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ГБОУ ШКОЛА № 523 САНКТ-ПЕТЕРБУРГА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ИНН / КПП: 7817027108 / 781701001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ОГРН: 1027808757701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Юридический адрес: 196650, город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Санкт-Петербург, г. Колпино,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пр-кт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Ленина, дом 31, литер А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Адрес электронной почты: </w:t>
            </w:r>
            <w:r>
              <w:rPr>
                <w:rFonts w:ascii="Times New Roman" w:hAnsi="Times New Roman"/>
                <w:sz w:val="20"/>
                <w:szCs w:val="20"/>
              </w:rPr>
              <w:t>gbou.shkola523@yandex.ru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Телефон: 78124619042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center"/>
          </w:tcPr>
          <w:p w:rsidR="008702DA" w:rsidRDefault="008702DA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center"/>
          </w:tcPr>
          <w:p w:rsidR="008702DA" w:rsidRDefault="008702DA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center"/>
          </w:tcPr>
          <w:p w:rsidR="008702DA" w:rsidRDefault="002607A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Реквизиты для расчетов по договору: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ИНН / КПП: 7817027108 / 781701001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Р/с: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банка: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БИК: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К/с: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4997" w:type="dxa"/>
            <w:gridSpan w:val="19"/>
            <w:shd w:val="clear" w:color="auto" w:fill="auto"/>
          </w:tcPr>
          <w:p w:rsidR="008702DA" w:rsidRDefault="0034452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216" behindDoc="1" locked="0" layoutInCell="1" allowOverlap="1">
                      <wp:simplePos x="0" y="0"/>
                      <wp:positionH relativeFrom="leftMargin">
                        <wp:posOffset>107950</wp:posOffset>
                      </wp:positionH>
                      <wp:positionV relativeFrom="topMargin">
                        <wp:posOffset>0</wp:posOffset>
                      </wp:positionV>
                      <wp:extent cx="1367790" cy="1583690"/>
                      <wp:effectExtent l="4445" t="635" r="0" b="0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7790" cy="1583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661155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AE49B0" id="Rectangle 3" o:spid="_x0000_s1026" style="position:absolute;margin-left:8.5pt;margin-top:0;width:107.7pt;height:124.7pt;z-index:-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" stroked="f" strokecolor="#615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5049" w:type="dxa"/>
            <w:gridSpan w:val="19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34452E">
            <w:pPr>
              <w:rPr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leftMargin">
                        <wp:posOffset>36195</wp:posOffset>
                      </wp:positionH>
                      <wp:positionV relativeFrom="topMargin">
                        <wp:posOffset>36195</wp:posOffset>
                      </wp:positionV>
                      <wp:extent cx="899795" cy="252095"/>
                      <wp:effectExtent l="0" t="0" r="0" b="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252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661155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21FC5E" id="Rectangle 2" o:spid="_x0000_s1026" style="position:absolute;margin-left:2.85pt;margin-top:2.85pt;width:70.85pt;height:19.85pt;z-index:-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" stroked="f" strokecolor="#615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578" w:type="dxa"/>
            <w:gridSpan w:val="6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 /</w:t>
            </w:r>
          </w:p>
        </w:tc>
        <w:tc>
          <w:tcPr>
            <w:tcW w:w="3419" w:type="dxa"/>
            <w:gridSpan w:val="13"/>
            <w:shd w:val="clear" w:color="auto" w:fill="auto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/</w: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1578" w:type="dxa"/>
            <w:gridSpan w:val="6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 /</w:t>
            </w:r>
          </w:p>
        </w:tc>
        <w:tc>
          <w:tcPr>
            <w:tcW w:w="3471" w:type="dxa"/>
            <w:gridSpan w:val="13"/>
            <w:shd w:val="clear" w:color="auto" w:fill="auto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/</w:t>
            </w: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89" w:type="dxa"/>
            <w:gridSpan w:val="3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4471" w:type="dxa"/>
            <w:gridSpan w:val="17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2607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</w:tcPr>
          <w:p w:rsidR="008702DA" w:rsidRDefault="008702D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  <w:tr w:rsidR="008702DA">
        <w:tblPrEx>
          <w:tblCellMar>
            <w:top w:w="0" w:type="dxa"/>
            <w:bottom w:w="0" w:type="dxa"/>
          </w:tblCellMar>
        </w:tblPrEx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  <w:tc>
          <w:tcPr>
            <w:tcW w:w="79" w:type="dxa"/>
            <w:shd w:val="clear" w:color="auto" w:fill="auto"/>
            <w:vAlign w:val="bottom"/>
          </w:tcPr>
          <w:p w:rsidR="008702DA" w:rsidRDefault="008702DA">
            <w:pPr>
              <w:rPr>
                <w:szCs w:val="16"/>
              </w:rPr>
            </w:pPr>
          </w:p>
        </w:tc>
      </w:tr>
    </w:tbl>
    <w:p w:rsidR="002607AE" w:rsidRDefault="002607AE"/>
    <w:sectPr w:rsidR="002607AE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2DA"/>
    <w:rsid w:val="002607AE"/>
    <w:rsid w:val="0034452E"/>
    <w:rsid w:val="008702DA"/>
    <w:rsid w:val="00EF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AF8F5"/>
  <w15:docId w15:val="{9AD16880-1D92-4B71-82A3-E258543E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2024-03-05T08:13:00Z</dcterms:created>
  <dcterms:modified xsi:type="dcterms:W3CDTF">2024-03-05T08:16:00Z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-568042025</vt:i4>
  </property>
  <property fmtid="{D5CDD505-2E9C-101B-9397-08002B2CF9AE}" pid="3" name="_NewReviewCycle">
    <vt:lpwstr/>
  </property>
  <property fmtid="{D5CDD505-2E9C-101B-9397-08002B2CF9AE}" pid="4" name="_EmailSubject">
    <vt:lpwstr>КП 2023</vt:lpwstr>
  </property>
  <property fmtid="{D5CDD505-2E9C-101B-9397-08002B2CF9AE}" pid="5" name="_AuthorEmail">
    <vt:lpwstr>udalov_mi@astralnalog.ru</vt:lpwstr>
  </property>
  <property fmtid="{D5CDD505-2E9C-101B-9397-08002B2CF9AE}" pid="6" name="_AuthorEmailDisplayName">
    <vt:lpwstr>Удалов Максим Игоревич</vt:lpwstr>
  </property>
  <property fmtid="{D5CDD505-2E9C-101B-9397-08002B2CF9AE}" pid="7" name="_ReviewingToolsShownOnce">
    <vt:lpwstr/>
  </property>
</Properties>
</file>