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</w:rPr>
      </w:pPr>
      <w:r>
        <w:rPr>
          <w:b/>
        </w:rPr>
        <w:t>КОНТРАКТ № ____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  <w:t>г. Санкт-Петербург                                                                                       «___»____________2024г.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b w:val="false"/>
          <w:bCs w:val="false"/>
        </w:rPr>
        <w:t>Санкт-Петербургское государственное бюджетное учреждение здравоохранения «Городское патолого-анатомическое бюро»</w:t>
      </w:r>
      <w:r>
        <w:rPr/>
        <w:t>, именуемое в дальнейшем «Заказчик», в лице главного врача Майской Марины Юрьевны, действующего на основании Устава, с одной стороны и 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</w:t>
      </w:r>
      <w:r>
        <w:rPr>
          <w:shd w:fill="auto" w:val="clear"/>
        </w:rPr>
        <w:t xml:space="preserve">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rPr/>
        <w:t xml:space="preserve"> заключили настоящий контракт о нижеследующем:</w:t>
      </w:r>
    </w:p>
    <w:p>
      <w:pPr>
        <w:pStyle w:val="Normal"/>
        <w:jc w:val="both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1. Предмет контракта</w:t>
      </w:r>
    </w:p>
    <w:p>
      <w:pPr>
        <w:pStyle w:val="Normal"/>
        <w:ind w:firstLine="708"/>
        <w:jc w:val="both"/>
        <w:rPr/>
      </w:pPr>
      <w:r>
        <w:rPr/>
        <w:t xml:space="preserve">1.1. Поставщик обязуется поставить и передать Заказчику Товар, наименование, количество, общая и единичная стоимость которого установлены в Спецификации (приложение 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>№</w:t>
      </w:r>
      <w:r>
        <w:rPr>
          <w:color w:val="000000"/>
        </w:rPr>
        <w:t>1 к контракту),являющейся неотъемлемой частью Контракта, на условиях установленных настоящим Контрактом, а Заказчик обязуется принять Товар надлежащего качества и оплатить его в порядке и на условиях предусмотренных настоящим Контрактом.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</w:rPr>
      </w:pPr>
      <w:r>
        <w:rPr>
          <w:b/>
        </w:rPr>
        <w:t>2. Цена Контракта и порядок расчетов</w:t>
      </w:r>
    </w:p>
    <w:p>
      <w:pPr>
        <w:pStyle w:val="Normal"/>
        <w:ind w:firstLine="708"/>
        <w:jc w:val="both"/>
        <w:rPr/>
      </w:pPr>
      <w:r>
        <w:rPr/>
        <w:t xml:space="preserve">2.1. Цена контракта составляет  </w:t>
      </w:r>
      <w:r>
        <w:rPr/>
        <w:t>_______________________________________________</w:t>
      </w:r>
    </w:p>
    <w:p>
      <w:pPr>
        <w:pStyle w:val="Normal"/>
        <w:jc w:val="both"/>
        <w:rPr>
          <w:rFonts w:ascii="Times New Roman" w:hAnsi="Times New Roman"/>
          <w:sz w:val="22"/>
          <w:szCs w:val="22"/>
          <w:highlight w:val="none"/>
          <w:shd w:fill="auto" w:val="clear"/>
        </w:rPr>
      </w:pPr>
      <w:r>
        <w:rPr>
          <w:sz w:val="22"/>
          <w:szCs w:val="22"/>
          <w:shd w:fill="auto" w:val="clear"/>
        </w:rPr>
        <w:tab/>
        <w:t>Источник финансирования</w:t>
      </w:r>
      <w:r>
        <w:rPr>
          <w:sz w:val="22"/>
          <w:szCs w:val="22"/>
          <w:shd w:fill="auto" w:val="clear"/>
        </w:rPr>
        <w:t>: внебюджетные средства.</w:t>
      </w:r>
    </w:p>
    <w:p>
      <w:pPr>
        <w:pStyle w:val="Normal"/>
        <w:ind w:firstLine="708"/>
        <w:jc w:val="both"/>
        <w:rPr/>
      </w:pPr>
      <w:r>
        <w:rPr/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>
      <w:pPr>
        <w:pStyle w:val="Normal"/>
        <w:ind w:firstLine="708"/>
        <w:jc w:val="both"/>
        <w:rPr/>
      </w:pPr>
      <w:r>
        <w:rPr/>
        <w:t>2.3. Оплата производится Заказчиком по факту поставки товара на расчетный счет Поставщика, указанный в Контракте, в течение 7 (семи)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>
      <w:pPr>
        <w:pStyle w:val="Normal"/>
        <w:ind w:firstLine="708"/>
        <w:jc w:val="both"/>
        <w:rPr/>
      </w:pPr>
      <w:r>
        <w:rPr/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</w:rPr>
      </w:pPr>
      <w:r>
        <w:rPr>
          <w:b/>
        </w:rPr>
        <w:t>3. Порядок поставки Товара</w:t>
      </w:r>
    </w:p>
    <w:p>
      <w:pPr>
        <w:pStyle w:val="Normal"/>
        <w:ind w:firstLine="708"/>
        <w:jc w:val="both"/>
        <w:rPr/>
      </w:pPr>
      <w:r>
        <w:rPr/>
        <w:t xml:space="preserve">3.1 Требования к качеству Товара, комплектности, таре, упаковке, маркировке </w:t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>
      <w:pPr>
        <w:pStyle w:val="Normal"/>
        <w:ind w:firstLine="708"/>
        <w:jc w:val="both"/>
        <w:rPr/>
      </w:pPr>
      <w:r>
        <w:rPr/>
        <w:t>3.2. Поставка Товара осуществляется по адресу, указанному в Техническом задании (приложение № 2 к Контракту).</w:t>
      </w:r>
    </w:p>
    <w:p>
      <w:pPr>
        <w:pStyle w:val="Normal"/>
        <w:ind w:firstLine="708"/>
        <w:jc w:val="both"/>
        <w:rPr/>
      </w:pPr>
      <w:r>
        <w:rPr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>
      <w:pPr>
        <w:pStyle w:val="Normal"/>
        <w:ind w:firstLine="708"/>
        <w:jc w:val="both"/>
        <w:rPr/>
      </w:pPr>
      <w:r>
        <w:rPr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>
      <w:pPr>
        <w:pStyle w:val="Normal"/>
        <w:ind w:firstLine="708"/>
        <w:jc w:val="both"/>
        <w:rPr/>
      </w:pPr>
      <w:r>
        <w:rPr/>
        <w:t xml:space="preserve">3.5. Срок поставки Товара указывается в Техническом задании (приложение </w:t>
        <w:br/>
        <w:t>№ 2 к Контракту).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4. Порядок приемки Товара</w:t>
      </w:r>
    </w:p>
    <w:p>
      <w:pPr>
        <w:pStyle w:val="Normal"/>
        <w:ind w:firstLine="708"/>
        <w:jc w:val="both"/>
        <w:rPr/>
      </w:pPr>
      <w:r>
        <w:rPr/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>
      <w:pPr>
        <w:pStyle w:val="Normal"/>
        <w:ind w:firstLine="708"/>
        <w:jc w:val="both"/>
        <w:rPr/>
      </w:pPr>
      <w:r>
        <w:rPr/>
        <w:t>4.2. Срок приемки указан в Техническом задании (приложение № 2 к Контракту).</w:t>
      </w:r>
    </w:p>
    <w:p>
      <w:pPr>
        <w:pStyle w:val="Normal"/>
        <w:ind w:firstLine="708"/>
        <w:jc w:val="both"/>
        <w:rPr/>
      </w:pPr>
      <w:r>
        <w:rPr/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>
      <w:pPr>
        <w:pStyle w:val="Normal"/>
        <w:ind w:firstLine="708"/>
        <w:jc w:val="both"/>
        <w:rPr/>
      </w:pPr>
      <w:r>
        <w:rPr/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>
      <w:pPr>
        <w:pStyle w:val="Normal"/>
        <w:ind w:firstLine="708"/>
        <w:jc w:val="both"/>
        <w:rPr>
          <w:strike/>
        </w:rPr>
      </w:pPr>
      <w:r>
        <w:rPr/>
        <w:t>4.5. Претензии по скрытым недостаткам могут быть заявлены Заказчиком в течение гарантийного срока.</w:t>
      </w:r>
    </w:p>
    <w:p>
      <w:pPr>
        <w:pStyle w:val="Normal"/>
        <w:ind w:firstLine="708"/>
        <w:jc w:val="both"/>
        <w:rPr/>
      </w:pPr>
      <w:r>
        <w:rPr/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>
      <w:pPr>
        <w:pStyle w:val="Normal"/>
        <w:ind w:firstLine="708"/>
        <w:jc w:val="both"/>
        <w:rPr/>
      </w:pPr>
      <w:r>
        <w:rPr/>
        <w:t>4.7. Все расходы, связанные с устранением недостатков, несет Поставщик.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</w:rPr>
      </w:pPr>
      <w:r>
        <w:rPr>
          <w:b/>
        </w:rPr>
        <w:t>5. Права и обязанности сторон</w:t>
      </w:r>
    </w:p>
    <w:p>
      <w:pPr>
        <w:pStyle w:val="Normal"/>
        <w:ind w:firstLine="708"/>
        <w:jc w:val="both"/>
        <w:rPr/>
      </w:pPr>
      <w:r>
        <w:rPr/>
        <w:t>5.1. Заказчик вправе:</w:t>
      </w:r>
    </w:p>
    <w:p>
      <w:pPr>
        <w:pStyle w:val="Normal"/>
        <w:ind w:firstLine="708"/>
        <w:jc w:val="both"/>
        <w:rPr/>
      </w:pPr>
      <w:r>
        <w:rPr/>
        <w:t xml:space="preserve">5.1.1. Требовать от Поставщика надлежащего исполнения обязательств </w:t>
        <w:br/>
        <w:t>в соответствии с Контрактом, а также требовать своевременного устранения выявленных недостатков.</w:t>
      </w:r>
    </w:p>
    <w:p>
      <w:pPr>
        <w:pStyle w:val="Normal"/>
        <w:ind w:firstLine="708"/>
        <w:jc w:val="both"/>
        <w:rPr/>
      </w:pPr>
      <w:r>
        <w:rPr/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>
      <w:pPr>
        <w:pStyle w:val="Normal"/>
        <w:ind w:firstLine="708"/>
        <w:jc w:val="both"/>
        <w:rPr/>
      </w:pPr>
      <w:r>
        <w:rPr/>
        <w:t>5.1.3. Запрашивать у Поставщика информацию о ходе исполнения обязательств по Контракту.</w:t>
      </w:r>
    </w:p>
    <w:p>
      <w:pPr>
        <w:pStyle w:val="Normal"/>
        <w:ind w:firstLine="708"/>
        <w:jc w:val="both"/>
        <w:rPr/>
      </w:pPr>
      <w:r>
        <w:rPr/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>
      <w:pPr>
        <w:pStyle w:val="Normal"/>
        <w:ind w:firstLine="708"/>
        <w:jc w:val="both"/>
        <w:rPr/>
      </w:pPr>
      <w:r>
        <w:rPr/>
        <w:t>5.1.5. Отказаться от приемки Товара в случаях, предусмотренных Контрактом.</w:t>
      </w:r>
    </w:p>
    <w:p>
      <w:pPr>
        <w:pStyle w:val="Normal"/>
        <w:ind w:firstLine="708"/>
        <w:jc w:val="both"/>
        <w:rPr/>
      </w:pPr>
      <w:r>
        <w:rPr/>
        <w:t>5.1.6. В одностороннем порядке отказаться от исполнения Контракта в соответствии с Законом о контрактной системе.</w:t>
      </w:r>
    </w:p>
    <w:p>
      <w:pPr>
        <w:pStyle w:val="Normal"/>
        <w:ind w:firstLine="708"/>
        <w:jc w:val="both"/>
        <w:rPr/>
      </w:pPr>
      <w:r>
        <w:rPr/>
        <w:t>5.2. Заказчик обязан:</w:t>
      </w:r>
    </w:p>
    <w:p>
      <w:pPr>
        <w:pStyle w:val="Normal"/>
        <w:ind w:firstLine="708"/>
        <w:jc w:val="both"/>
        <w:rPr/>
      </w:pPr>
      <w:r>
        <w:rPr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>
      <w:pPr>
        <w:pStyle w:val="Normal"/>
        <w:ind w:firstLine="708"/>
        <w:jc w:val="both"/>
        <w:rPr/>
      </w:pPr>
      <w:r>
        <w:rPr/>
        <w:t xml:space="preserve">5.2.2. Своевременно оплатить поставленный Товар надлежащего качества </w:t>
        <w:br/>
        <w:t>в соответствии с Контрактом.</w:t>
      </w:r>
    </w:p>
    <w:p>
      <w:pPr>
        <w:pStyle w:val="Normal"/>
        <w:ind w:firstLine="708"/>
        <w:jc w:val="both"/>
        <w:rPr/>
      </w:pPr>
      <w:r>
        <w:rPr/>
        <w:t>5.3. Поставщик вправе:</w:t>
      </w:r>
    </w:p>
    <w:p>
      <w:pPr>
        <w:pStyle w:val="Normal"/>
        <w:ind w:firstLine="708"/>
        <w:jc w:val="both"/>
        <w:rPr/>
      </w:pPr>
      <w:r>
        <w:rPr/>
        <w:t xml:space="preserve">5.3.1. Требовать своевременной приемки и оплаты за поставленный Товар </w:t>
        <w:br/>
        <w:t>в соответствии с условиями Контракта.</w:t>
      </w:r>
    </w:p>
    <w:p>
      <w:pPr>
        <w:pStyle w:val="Normal"/>
        <w:ind w:firstLine="708"/>
        <w:jc w:val="both"/>
        <w:rPr/>
      </w:pPr>
      <w:r>
        <w:rPr/>
        <w:t xml:space="preserve">5.3.2. Запрашивать у Заказчика разъяснения и уточнения относительно Товара </w:t>
        <w:br/>
        <w:t>в рамках Контракта.</w:t>
      </w:r>
    </w:p>
    <w:p>
      <w:pPr>
        <w:pStyle w:val="Normal"/>
        <w:ind w:firstLine="708"/>
        <w:jc w:val="both"/>
        <w:rPr/>
      </w:pPr>
      <w:r>
        <w:rPr/>
        <w:t xml:space="preserve">5.3.3. Получать от Заказчика содействие при поставке Товара в соответствии </w:t>
        <w:br/>
        <w:t>с условиями Контракта.</w:t>
      </w:r>
    </w:p>
    <w:p>
      <w:pPr>
        <w:pStyle w:val="Normal"/>
        <w:ind w:firstLine="708"/>
        <w:jc w:val="both"/>
        <w:rPr/>
      </w:pPr>
      <w:r>
        <w:rPr/>
        <w:t>5.3.4. Досрочно исполнить обязательства по Контракту с согласия Заказчика.</w:t>
      </w:r>
    </w:p>
    <w:p>
      <w:pPr>
        <w:pStyle w:val="Normal"/>
        <w:ind w:firstLine="708"/>
        <w:jc w:val="both"/>
        <w:rPr/>
      </w:pPr>
      <w:r>
        <w:rPr/>
        <w:t>5.4. Поставщик обязан:</w:t>
      </w:r>
    </w:p>
    <w:p>
      <w:pPr>
        <w:pStyle w:val="Normal"/>
        <w:ind w:firstLine="708"/>
        <w:jc w:val="both"/>
        <w:rPr/>
      </w:pPr>
      <w:r>
        <w:rPr/>
        <w:t>5.4.1. Своевременно и надлежащим образом исполнять обязательства по поставке Товара в соответствии с условиями Контракта.</w:t>
      </w:r>
    </w:p>
    <w:p>
      <w:pPr>
        <w:pStyle w:val="Normal"/>
        <w:ind w:firstLine="708"/>
        <w:jc w:val="both"/>
        <w:rPr/>
      </w:pPr>
      <w:r>
        <w:rPr/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>
      <w:pPr>
        <w:pStyle w:val="Normal"/>
        <w:ind w:firstLine="708"/>
        <w:jc w:val="both"/>
        <w:rPr/>
      </w:pPr>
      <w:r>
        <w:rPr/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>
      <w:pPr>
        <w:pStyle w:val="Normal"/>
        <w:ind w:firstLine="708"/>
        <w:jc w:val="both"/>
        <w:rPr/>
      </w:pPr>
      <w:r>
        <w:rPr/>
        <w:t xml:space="preserve">5.4.4. Приостановить поставку Товара в случае обнаружения не зависящих </w:t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  <w:br/>
        <w:t>и сообщить об этом Заказчику в течение одного рабочего дня после приостановления поставки.</w:t>
      </w:r>
    </w:p>
    <w:p>
      <w:pPr>
        <w:pStyle w:val="Normal"/>
        <w:ind w:firstLine="708"/>
        <w:jc w:val="both"/>
        <w:rPr/>
      </w:pPr>
      <w:r>
        <w:rPr/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>
      <w:pPr>
        <w:pStyle w:val="Normal"/>
        <w:widowControl w:val="false"/>
        <w:bidi w:val="0"/>
        <w:ind w:firstLine="567"/>
        <w:jc w:val="both"/>
        <w:rPr>
          <w:highlight w:val="none"/>
          <w:shd w:fill="auto" w:val="clear"/>
        </w:rPr>
      </w:pPr>
      <w:r>
        <w:rPr>
          <w:sz w:val="22"/>
          <w:szCs w:val="22"/>
          <w:shd w:fill="auto" w:val="clear"/>
        </w:rPr>
        <w:t>5.4.6. Поставщик декларирует, что на момент заключения Контракта соответствует  требованиям, установленным пунктами 3 - 5, 7 – 11 части 1 статьи 31 Федерального закона от 05.04.2013 № 44-ФЗ (Приложение №3 к Контракту).</w:t>
      </w:r>
    </w:p>
    <w:p>
      <w:pPr>
        <w:pStyle w:val="Normal"/>
        <w:widowControl w:val="false"/>
        <w:bidi w:val="0"/>
        <w:ind w:firstLine="567"/>
        <w:jc w:val="both"/>
        <w:rPr>
          <w:highlight w:val="none"/>
          <w:shd w:fill="auto" w:val="clear"/>
        </w:rPr>
      </w:pPr>
      <w:r>
        <w:rPr>
          <w:sz w:val="22"/>
          <w:szCs w:val="22"/>
          <w:shd w:fill="auto" w:val="clear"/>
        </w:rPr>
        <w:t>5.4.7. Информация о Поставщике отсутствует в предусмотренном Федеральным законом от 05.04.2013 N 44-ФЗ "О контрактной системе в сфере закупок товаров, работ, услуг для обеспечения государственных и муниципальных нужд" реестре недобросовестных поставщиков (подрядчиков, исполнителей).</w:t>
      </w:r>
    </w:p>
    <w:p>
      <w:pPr>
        <w:pStyle w:val="Normal"/>
        <w:jc w:val="center"/>
        <w:rPr>
          <w:b/>
        </w:rPr>
      </w:pPr>
      <w:r>
        <w:rPr>
          <w:b/>
        </w:rPr>
        <w:t>6. Гарантии</w:t>
      </w:r>
    </w:p>
    <w:p>
      <w:pPr>
        <w:pStyle w:val="Normal"/>
        <w:ind w:firstLine="708"/>
        <w:jc w:val="both"/>
        <w:rPr/>
      </w:pPr>
      <w:r>
        <w:rPr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>
      <w:pPr>
        <w:pStyle w:val="Normal"/>
        <w:ind w:firstLine="708"/>
        <w:jc w:val="both"/>
        <w:rPr/>
      </w:pPr>
      <w:r>
        <w:rPr/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>
      <w:pPr>
        <w:pStyle w:val="Normal"/>
        <w:ind w:firstLine="708"/>
        <w:jc w:val="both"/>
        <w:rPr/>
      </w:pPr>
      <w:r>
        <w:rPr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>
      <w:pPr>
        <w:pStyle w:val="Normal"/>
        <w:ind w:firstLine="708"/>
        <w:jc w:val="both"/>
        <w:rPr/>
      </w:pPr>
      <w:r>
        <w:rPr/>
        <w:t>6.4. Все расходы, связанные с заменой Товара, ненадлежащего качества, осуществляются за счет Поставщика.</w:t>
      </w:r>
    </w:p>
    <w:p>
      <w:pPr>
        <w:pStyle w:val="Normal"/>
        <w:jc w:val="center"/>
        <w:rPr>
          <w:b/>
        </w:rPr>
      </w:pPr>
      <w:r>
        <w:rPr>
          <w:b/>
        </w:rPr>
        <w:t>7. Ответственность сторон</w:t>
      </w:r>
    </w:p>
    <w:p>
      <w:pPr>
        <w:pStyle w:val="Normal"/>
        <w:ind w:firstLine="708"/>
        <w:jc w:val="both"/>
        <w:rPr/>
      </w:pPr>
      <w:r>
        <w:rPr/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>
      <w:pPr>
        <w:pStyle w:val="Normal"/>
        <w:ind w:firstLine="708"/>
        <w:jc w:val="both"/>
        <w:rPr/>
      </w:pPr>
      <w:r>
        <w:rPr/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>
      <w:pPr>
        <w:pStyle w:val="Normal"/>
        <w:ind w:firstLine="708"/>
        <w:jc w:val="both"/>
        <w:rPr/>
      </w:pPr>
      <w:r>
        <w:rPr/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>
      <w:pPr>
        <w:pStyle w:val="Normal"/>
        <w:ind w:firstLine="708"/>
        <w:jc w:val="both"/>
        <w:rPr/>
      </w:pPr>
      <w:r>
        <w:rPr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>
      <w:pPr>
        <w:pStyle w:val="Normal"/>
        <w:ind w:firstLine="708"/>
        <w:jc w:val="both"/>
        <w:rPr/>
      </w:pPr>
      <w:r>
        <w:rPr/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>
      <w:pPr>
        <w:pStyle w:val="Normal"/>
        <w:ind w:firstLine="708"/>
        <w:jc w:val="both"/>
        <w:rPr/>
      </w:pPr>
      <w:r>
        <w:rPr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 рублей______ копеек.</w:t>
      </w:r>
    </w:p>
    <w:p>
      <w:pPr>
        <w:pStyle w:val="Normal"/>
        <w:ind w:firstLine="708"/>
        <w:jc w:val="both"/>
        <w:rPr/>
      </w:pPr>
      <w:r>
        <w:rPr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>
      <w:pPr>
        <w:pStyle w:val="Normal"/>
        <w:ind w:firstLine="708"/>
        <w:jc w:val="both"/>
        <w:rPr/>
      </w:pPr>
      <w:r>
        <w:rPr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  <w:br/>
        <w:t>не может превышать цену Контракта.</w:t>
      </w:r>
    </w:p>
    <w:p>
      <w:pPr>
        <w:pStyle w:val="Normal"/>
        <w:ind w:firstLine="708"/>
        <w:jc w:val="both"/>
        <w:rPr/>
      </w:pPr>
      <w:r>
        <w:rPr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>
      <w:pPr>
        <w:pStyle w:val="Normal"/>
        <w:ind w:firstLine="708"/>
        <w:jc w:val="both"/>
        <w:rPr/>
      </w:pPr>
      <w:r>
        <w:rPr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>
      <w:pPr>
        <w:pStyle w:val="Normal"/>
        <w:ind w:firstLine="708"/>
        <w:jc w:val="both"/>
        <w:rPr/>
      </w:pPr>
      <w:r>
        <w:rPr/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>
      <w:pPr>
        <w:pStyle w:val="Normal"/>
        <w:ind w:firstLine="708"/>
        <w:jc w:val="both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>
      <w:pPr>
        <w:pStyle w:val="Normal"/>
        <w:ind w:firstLine="708"/>
        <w:jc w:val="both"/>
        <w:rPr/>
      </w:pPr>
      <w:r>
        <w:rPr/>
        <w:t>8.1. Контракт вступает в силу со дня его подписания Сторонами.</w:t>
      </w:r>
    </w:p>
    <w:p>
      <w:pPr>
        <w:pStyle w:val="Normal"/>
        <w:ind w:firstLine="708"/>
        <w:jc w:val="both"/>
        <w:rPr/>
      </w:pPr>
      <w:r>
        <w:rPr/>
        <w:t xml:space="preserve">8.2. </w:t>
      </w:r>
      <w:r>
        <w:rPr>
          <w:rStyle w:val="Layout"/>
          <w:color w:val="000000"/>
        </w:rPr>
        <w:t xml:space="preserve">Контракт действует по </w:t>
      </w:r>
      <w:r>
        <w:rPr/>
        <w:t>31.12.2024. Истечение</w:t>
      </w:r>
      <w:r>
        <w:rPr>
          <w:rStyle w:val="Layout"/>
        </w:rPr>
        <w:t xml:space="preserve"> срока действия настоящего контракта не освобождает Стороны от исполнения обязательств, возникших в период действия контракта, а также от ответственности за его нарушение</w:t>
      </w:r>
      <w:r>
        <w:rPr/>
        <w:t>.</w:t>
      </w:r>
    </w:p>
    <w:p>
      <w:pPr>
        <w:pStyle w:val="Normal"/>
        <w:ind w:firstLine="708"/>
        <w:jc w:val="both"/>
        <w:rPr/>
      </w:pPr>
      <w:r>
        <w:rPr/>
        <w:t>8.3. Контракт может быть расторгнут:</w:t>
      </w:r>
    </w:p>
    <w:p>
      <w:pPr>
        <w:pStyle w:val="Normal"/>
        <w:jc w:val="both"/>
        <w:rPr/>
      </w:pPr>
      <w:r>
        <w:rPr/>
        <w:tab/>
        <w:t>- по соглашению сторон;</w:t>
      </w:r>
    </w:p>
    <w:p>
      <w:pPr>
        <w:pStyle w:val="Normal"/>
        <w:jc w:val="both"/>
        <w:rPr/>
      </w:pPr>
      <w:r>
        <w:rPr/>
        <w:tab/>
        <w:t>- по решению суда;</w:t>
      </w:r>
    </w:p>
    <w:p>
      <w:pPr>
        <w:pStyle w:val="Normal"/>
        <w:jc w:val="both"/>
        <w:rPr/>
      </w:pPr>
      <w:r>
        <w:rPr/>
        <w:tab/>
        <w:t xml:space="preserve">- в случае одностороннего отказа Стороны Контракта от исполнения Контракта </w:t>
        <w:br/>
        <w:t>в соответствии с гражданским законодательством.</w:t>
      </w:r>
    </w:p>
    <w:p>
      <w:pPr>
        <w:pStyle w:val="Normal"/>
        <w:ind w:firstLine="708"/>
        <w:jc w:val="both"/>
        <w:rPr/>
      </w:pPr>
      <w:r>
        <w:rPr/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>
      <w:pPr>
        <w:pStyle w:val="Normal"/>
        <w:ind w:firstLine="708"/>
        <w:jc w:val="both"/>
        <w:rPr/>
      </w:pPr>
      <w:r>
        <w:rPr/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>
      <w:pPr>
        <w:pStyle w:val="Normal"/>
        <w:ind w:firstLine="708"/>
        <w:jc w:val="both"/>
        <w:rPr/>
      </w:pPr>
      <w:r>
        <w:rPr/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9. Порядок урегулирования споров</w:t>
      </w:r>
    </w:p>
    <w:p>
      <w:pPr>
        <w:pStyle w:val="Normal"/>
        <w:ind w:firstLine="708"/>
        <w:jc w:val="both"/>
        <w:rPr/>
      </w:pPr>
      <w:r>
        <w:rPr/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>
      <w:pPr>
        <w:pStyle w:val="Normal"/>
        <w:ind w:firstLine="708"/>
        <w:jc w:val="both"/>
        <w:rPr/>
      </w:pPr>
      <w:r>
        <w:rPr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>
      <w:pPr>
        <w:pStyle w:val="Normal"/>
        <w:ind w:firstLine="708"/>
        <w:jc w:val="both"/>
        <w:rPr/>
      </w:pPr>
      <w:r>
        <w:rPr/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>
      <w:pPr>
        <w:pStyle w:val="Normal"/>
        <w:jc w:val="center"/>
        <w:rPr>
          <w:b/>
        </w:rPr>
      </w:pPr>
      <w:r>
        <w:rPr>
          <w:b/>
        </w:rPr>
        <w:t>10. Прочие условия</w:t>
      </w:r>
    </w:p>
    <w:p>
      <w:pPr>
        <w:pStyle w:val="Normal"/>
        <w:ind w:firstLine="708"/>
        <w:jc w:val="both"/>
        <w:rPr/>
      </w:pPr>
      <w:r>
        <w:rPr/>
        <w:t xml:space="preserve">10.1. Все уведомления сторон, связанные с исполнением Контракта, направляются </w:t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почты, указанной в разделе 12 Контракта с последующим представлением оригинала. В случае направления уведомлений с использованием почты, датой получения уведомления признается дата вручения второй Стороне указанного уведомления либо дата получения Стороной информации об отсутствии адресата по его адресу, указанному в Контракте либо информация о доставке письма на почтовое отделение адресата.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>
      <w:pPr>
        <w:pStyle w:val="Normal"/>
        <w:ind w:firstLine="708"/>
        <w:jc w:val="both"/>
        <w:rPr>
          <w:highlight w:val="none"/>
          <w:shd w:fill="auto" w:val="clear"/>
        </w:rPr>
      </w:pPr>
      <w:r>
        <w:rPr>
          <w:shd w:fill="auto" w:val="clear"/>
        </w:rPr>
        <w:t xml:space="preserve">10.2. </w:t>
      </w:r>
      <w:r>
        <w:rPr>
          <w:sz w:val="22"/>
          <w:szCs w:val="22"/>
          <w:shd w:fill="auto" w:val="clear"/>
        </w:rPr>
        <w:t>Настоящий Договор составлен в форме электронного документа, подписанного усиленными электронными подписями уполномоченных на подписание Договора лиц обеих сторон. Усиленная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>
      <w:pPr>
        <w:pStyle w:val="Normal"/>
        <w:ind w:firstLine="708"/>
        <w:jc w:val="both"/>
        <w:rPr/>
      </w:pPr>
      <w:r>
        <w:rPr/>
        <w:t>10.3. Во всем, что не предусмотрено Контрактом, Стороны руководствуются законодательством Российской Федерации.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jc w:val="center"/>
        <w:rPr>
          <w:b/>
        </w:rPr>
      </w:pPr>
      <w:r>
        <w:rPr>
          <w:b/>
        </w:rPr>
        <w:t>11. Приложения</w:t>
      </w:r>
    </w:p>
    <w:p>
      <w:pPr>
        <w:pStyle w:val="Normal"/>
        <w:ind w:firstLine="708"/>
        <w:jc w:val="both"/>
        <w:rPr/>
      </w:pPr>
      <w:r>
        <w:rPr/>
        <w:t>11.1 Неотъемлемой частью Контракта являются:</w:t>
      </w:r>
    </w:p>
    <w:p>
      <w:pPr>
        <w:pStyle w:val="Normal"/>
        <w:ind w:firstLine="708"/>
        <w:jc w:val="both"/>
        <w:rPr/>
      </w:pPr>
      <w:r>
        <w:rPr/>
        <w:t>Приложение № 1 «Спецификация»;</w:t>
      </w:r>
    </w:p>
    <w:p>
      <w:pPr>
        <w:pStyle w:val="Normal"/>
        <w:ind w:firstLine="708"/>
        <w:jc w:val="both"/>
        <w:rPr/>
      </w:pPr>
      <w:r>
        <w:rPr/>
        <w:t>Приложение № 2 «Техническое задание»</w:t>
      </w:r>
    </w:p>
    <w:p>
      <w:pPr>
        <w:pStyle w:val="Normal"/>
        <w:ind w:firstLine="708"/>
        <w:jc w:val="both"/>
        <w:rPr/>
      </w:pPr>
      <w:r>
        <w:rPr/>
        <w:t>Приложение № 3 «Декларация соответствия»</w:t>
      </w:r>
    </w:p>
    <w:p>
      <w:pPr>
        <w:pStyle w:val="Normal"/>
        <w:jc w:val="both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12. Реквизиты и подписи сторон</w:t>
      </w:r>
    </w:p>
    <w:tbl>
      <w:tblPr>
        <w:tblW w:w="9810" w:type="dxa"/>
        <w:jc w:val="left"/>
        <w:tblInd w:w="48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4785"/>
        <w:gridCol w:w="5025"/>
      </w:tblGrid>
      <w:tr>
        <w:trPr>
          <w:trHeight w:val="2989" w:hRule="atLeast"/>
        </w:trPr>
        <w:tc>
          <w:tcPr>
            <w:tcW w:w="4785" w:type="dxa"/>
            <w:tcBorders/>
          </w:tcPr>
          <w:p>
            <w:pPr>
              <w:pStyle w:val="Normal"/>
              <w:widowControl w:val="false"/>
              <w:ind w:hanging="0" w:left="426"/>
              <w:jc w:val="center"/>
              <w:rPr>
                <w:b/>
              </w:rPr>
            </w:pPr>
            <w:r>
              <w:rPr>
                <w:b/>
              </w:rPr>
              <w:t>ЗАКАЗЧИК</w:t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  <w:t>Санкт-Петербургское государственное бюджетное учреждение здравоохранения «Городское патолого-анатомическое бюро»</w:t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  <w:t>Адрес: 194354, СПб., Учебный пер., д.5</w:t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  <w:t>Тел. (812) 338-48-60</w:t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  <w:t xml:space="preserve">Эл. почта: </w:t>
            </w:r>
            <w:hyperlink r:id="rId3">
              <w:r>
                <w:rPr>
                  <w:rStyle w:val="Hyperlink"/>
                </w:rPr>
                <w:t>gz@gpab.spb.ru</w:t>
              </w:r>
            </w:hyperlink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  <w:t>ИНН 7802072179, КПП 780201001, Получатель: Комитет финансов г. Санкт-Петербург (СПб ГБУЗ «Городское патолого-анатомическое бюро», л\с 0151017)</w:t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  <w:t>Номер счета банка получателя:  40</w:t>
            </w:r>
            <w:r>
              <w:rPr>
                <w:lang w:eastAsia="zh-CN"/>
              </w:rPr>
              <w:t>1</w:t>
            </w:r>
            <w:r>
              <w:rPr/>
              <w:t>02810945370000005</w:t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  <w:t>Казначейский счет получателя: 03224643400000007200</w:t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  <w:t xml:space="preserve">Северо-Западное ГУ Банка России//УФК по г. Санкт-Петербургу, г. Санкт-Петербург. БИК </w:t>
            </w:r>
            <w:r>
              <w:rPr>
                <w:lang w:eastAsia="zh-CN"/>
              </w:rPr>
              <w:t>014030106</w:t>
            </w:r>
          </w:p>
          <w:p>
            <w:pPr>
              <w:pStyle w:val="Normal"/>
              <w:widowControl w:val="false"/>
              <w:ind w:hanging="0" w:left="107"/>
              <w:rPr>
                <w:i/>
                <w:i/>
                <w:iCs/>
              </w:rPr>
            </w:pPr>
            <w:r>
              <w:rPr>
                <w:i/>
                <w:iCs/>
              </w:rPr>
              <w:t>Ответственное лицо:</w:t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  <w:t>Зверев Сергей Анатолиевич</w:t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  <w:t>Тел. +7-911-987-88-87.</w:t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  <w:t>Главный врач__________М.Ю.Майская</w:t>
            </w:r>
          </w:p>
        </w:tc>
        <w:tc>
          <w:tcPr>
            <w:tcW w:w="5025" w:type="dxa"/>
            <w:tcBorders/>
          </w:tcPr>
          <w:p>
            <w:pPr>
              <w:pStyle w:val="Normal"/>
              <w:widowControl w:val="false"/>
              <w:ind w:hanging="0" w:left="426"/>
              <w:rPr>
                <w:b/>
              </w:rPr>
            </w:pPr>
            <w:r>
              <w:rPr>
                <w:b/>
              </w:rPr>
              <w:t xml:space="preserve">               </w:t>
            </w:r>
            <w:r>
              <w:rPr>
                <w:b/>
              </w:rPr>
              <w:t>ПОСТАВЩИК</w:t>
            </w:r>
          </w:p>
          <w:p>
            <w:pPr>
              <w:pStyle w:val="Normal"/>
              <w:widowControl w:val="false"/>
              <w:ind w:hanging="0" w:left="34"/>
              <w:rPr/>
            </w:pPr>
            <w:r>
              <w:rPr/>
            </w:r>
          </w:p>
          <w:p>
            <w:pPr>
              <w:pStyle w:val="Normal"/>
              <w:widowControl w:val="false"/>
              <w:ind w:hanging="0" w:left="34"/>
              <w:rPr/>
            </w:pPr>
            <w:r>
              <w:rPr/>
              <w:t>ОБЯЗАТЕЛЬНО!</w:t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  <w:t>Адрес: ____________________</w:t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  <w:t>Тел. _____________</w:t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  <w:t>Факс_______________</w:t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  <w:t>Эл. почта: _________________</w:t>
            </w:r>
          </w:p>
          <w:p>
            <w:pPr>
              <w:pStyle w:val="Normal"/>
              <w:widowControl w:val="false"/>
              <w:ind w:hanging="0" w:left="107"/>
              <w:rPr/>
            </w:pPr>
            <w:r>
              <w:rPr/>
              <w:t>Ответственное лицо и его номер тел</w:t>
            </w:r>
          </w:p>
          <w:p>
            <w:pPr>
              <w:pStyle w:val="Normal"/>
              <w:widowControl w:val="false"/>
              <w:suppressAutoHyphens w:val="false"/>
              <w:rPr>
                <w:b/>
              </w:rPr>
            </w:pPr>
            <w:r>
              <w:rPr/>
              <w:t>__________________________</w:t>
            </w:r>
          </w:p>
        </w:tc>
      </w:tr>
    </w:tbl>
    <w:p>
      <w:pPr>
        <w:sectPr>
          <w:type w:val="nextPage"/>
          <w:pgSz w:w="11906" w:h="16838"/>
          <w:pgMar w:left="1134" w:right="850" w:gutter="0" w:header="0" w:top="567" w:footer="0" w:bottom="568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pacing w:before="0" w:after="0"/>
        <w:jc w:val="right"/>
        <w:rPr/>
      </w:pPr>
      <w:r>
        <w:rPr/>
        <w:t>Приложение № 1 к Контракту</w:t>
      </w:r>
    </w:p>
    <w:p>
      <w:pPr>
        <w:pStyle w:val="ListParagraph"/>
        <w:ind w:firstLine="142" w:left="-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 «___»____________2024г. № _______</w:t>
      </w:r>
    </w:p>
    <w:p>
      <w:pPr>
        <w:pStyle w:val="ListParagraph"/>
        <w:ind w:firstLine="142" w:left="-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b/>
        </w:rPr>
      </w:pPr>
      <w:r>
        <w:rPr>
          <w:b/>
        </w:rPr>
        <w:t>СПЕЦИФИКАЦИЯ</w:t>
      </w:r>
    </w:p>
    <w:p>
      <w:pPr>
        <w:pStyle w:val="Normal"/>
        <w:jc w:val="center"/>
        <w:rPr>
          <w:b/>
        </w:rPr>
      </w:pPr>
      <w:r>
        <w:rPr>
          <w:b/>
          <w:bCs/>
          <w:i/>
          <w:iCs/>
          <w:color w:val="FF0000"/>
        </w:rPr>
        <w:t>(Характеристики товара заполняются согласно оферте поставщика)</w:t>
      </w:r>
    </w:p>
    <w:p>
      <w:pPr>
        <w:pStyle w:val="Normal"/>
        <w:jc w:val="center"/>
        <w:rPr>
          <w:b/>
        </w:rPr>
      </w:pPr>
      <w:r>
        <w:rPr>
          <w:b/>
        </w:rPr>
      </w:r>
    </w:p>
    <w:tbl>
      <w:tblPr>
        <w:tblStyle w:val="af1"/>
        <w:tblW w:w="15690" w:type="dxa"/>
        <w:jc w:val="lef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6"/>
        <w:gridCol w:w="7024"/>
        <w:gridCol w:w="1591"/>
        <w:gridCol w:w="1980"/>
        <w:gridCol w:w="1023"/>
        <w:gridCol w:w="1139"/>
        <w:gridCol w:w="903"/>
        <w:gridCol w:w="1462"/>
      </w:tblGrid>
      <w:tr>
        <w:trPr/>
        <w:tc>
          <w:tcPr>
            <w:tcW w:w="56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 w:left="-113"/>
              <w:jc w:val="center"/>
              <w:rPr>
                <w:b/>
              </w:rPr>
            </w:pPr>
            <w:r>
              <w:rPr>
                <w:b/>
                <w:kern w:val="0"/>
                <w:lang w:val="ru-RU" w:bidi="ar-SA"/>
              </w:rPr>
              <w:t>№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 w:left="-113"/>
              <w:jc w:val="center"/>
              <w:rPr>
                <w:b/>
              </w:rPr>
            </w:pPr>
            <w:r>
              <w:rPr>
                <w:b/>
                <w:kern w:val="0"/>
                <w:lang w:val="ru-RU" w:bidi="ar-SA"/>
              </w:rPr>
              <w:t>п/п</w:t>
            </w:r>
          </w:p>
        </w:tc>
        <w:tc>
          <w:tcPr>
            <w:tcW w:w="7024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b/>
                <w:kern w:val="0"/>
                <w:sz w:val="22"/>
                <w:szCs w:val="22"/>
                <w:lang w:val="ru-RU" w:eastAsia="en-US" w:bidi="ar-SA"/>
              </w:rPr>
              <w:t>Наименование, характеристики, д</w:t>
            </w:r>
            <w:r>
              <w:rPr>
                <w:b/>
                <w:bCs/>
                <w:kern w:val="0"/>
                <w:sz w:val="22"/>
                <w:szCs w:val="22"/>
                <w:lang w:val="ru-RU" w:eastAsia="ru-RU" w:bidi="ar-SA"/>
              </w:rPr>
              <w:t>ата регистрации товара и его регистрационный номер</w:t>
            </w:r>
          </w:p>
        </w:tc>
        <w:tc>
          <w:tcPr>
            <w:tcW w:w="1591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b/>
                <w:kern w:val="0"/>
                <w:sz w:val="22"/>
                <w:szCs w:val="22"/>
                <w:lang w:val="ru-RU" w:eastAsia="en-US" w:bidi="ar-SA"/>
              </w:rPr>
              <w:t>Страна происхождения товара</w:t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b/>
                <w:kern w:val="0"/>
                <w:sz w:val="22"/>
                <w:szCs w:val="22"/>
                <w:lang w:val="ru-RU" w:eastAsia="en-US" w:bidi="ar-SA"/>
              </w:rPr>
              <w:t>Ед. изм.</w:t>
            </w:r>
          </w:p>
        </w:tc>
        <w:tc>
          <w:tcPr>
            <w:tcW w:w="102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b/>
                <w:kern w:val="0"/>
                <w:sz w:val="22"/>
                <w:szCs w:val="22"/>
                <w:lang w:val="ru-RU" w:eastAsia="en-US" w:bidi="ar-SA"/>
              </w:rPr>
              <w:t>Кол-во</w:t>
            </w:r>
          </w:p>
        </w:tc>
        <w:tc>
          <w:tcPr>
            <w:tcW w:w="113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b/>
                <w:kern w:val="0"/>
                <w:sz w:val="22"/>
                <w:szCs w:val="22"/>
                <w:lang w:val="ru-RU" w:eastAsia="en-US" w:bidi="ar-SA"/>
              </w:rPr>
              <w:t>Цена за единицу,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b/>
                <w:kern w:val="0"/>
                <w:sz w:val="22"/>
                <w:szCs w:val="22"/>
                <w:lang w:val="ru-RU" w:eastAsia="en-US" w:bidi="ar-SA"/>
              </w:rPr>
              <w:t>руб.</w:t>
            </w:r>
          </w:p>
        </w:tc>
        <w:tc>
          <w:tcPr>
            <w:tcW w:w="9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b/>
                <w:kern w:val="0"/>
                <w:sz w:val="22"/>
                <w:szCs w:val="22"/>
                <w:lang w:val="ru-RU" w:eastAsia="en-US" w:bidi="ar-SA"/>
              </w:rPr>
              <w:t>НДС</w:t>
            </w:r>
            <w:r>
              <w:rPr>
                <w:b/>
                <w:kern w:val="0"/>
                <w:sz w:val="22"/>
                <w:szCs w:val="22"/>
                <w:lang w:val="en-US" w:eastAsia="en-US" w:bidi="ar-SA"/>
              </w:rPr>
              <w:t xml:space="preserve"> %</w:t>
            </w:r>
          </w:p>
        </w:tc>
        <w:tc>
          <w:tcPr>
            <w:tcW w:w="146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b/>
                <w:kern w:val="0"/>
                <w:sz w:val="22"/>
                <w:szCs w:val="22"/>
                <w:lang w:val="ru-RU" w:eastAsia="en-US" w:bidi="ar-SA"/>
              </w:rPr>
              <w:t>Стоимость,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b/>
                <w:kern w:val="0"/>
                <w:sz w:val="22"/>
                <w:szCs w:val="22"/>
                <w:lang w:val="ru-RU" w:eastAsia="en-US" w:bidi="ar-SA"/>
              </w:rPr>
              <w:t>руб.</w:t>
            </w:r>
          </w:p>
        </w:tc>
      </w:tr>
      <w:tr>
        <w:trPr>
          <w:trHeight w:val="3701" w:hRule="atLeast"/>
        </w:trPr>
        <w:tc>
          <w:tcPr>
            <w:tcW w:w="56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kern w:val="0"/>
                <w:sz w:val="20"/>
                <w:szCs w:val="20"/>
                <w:lang w:val="ru-RU" w:bidi="ar-SA"/>
              </w:rPr>
              <w:t>1</w:t>
            </w:r>
          </w:p>
        </w:tc>
        <w:tc>
          <w:tcPr>
            <w:tcW w:w="7024" w:type="dxa"/>
            <w:tcBorders>
              <w:right w:val="nil"/>
            </w:tcBorders>
          </w:tcPr>
          <w:p>
            <w:pPr>
              <w:pStyle w:val="Standard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Тележка(каталка) анатомическая ТП-04 «ИМХМ» со съёмными носилками.</w:t>
            </w:r>
          </w:p>
          <w:p>
            <w:pPr>
              <w:pStyle w:val="Standard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Standard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 xml:space="preserve">Тележка анатомическая ТП-4 предназначена для перевозки трупов как внутри помещения,так и по улице.Съёмные носилки из нержавеющей стали имеют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en-US" w:eastAsia="en-US" w:bidi="ar-SA"/>
              </w:rPr>
              <w:t>U-</w:t>
            </w: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образный изгиб. По сторонам каркаса установлены отбойники для предохранения стен от повреждения.</w:t>
            </w:r>
          </w:p>
          <w:p>
            <w:pPr>
              <w:pStyle w:val="Standard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Standard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Тележка(каталка)  : одноуровневая.</w:t>
            </w:r>
          </w:p>
          <w:p>
            <w:pPr>
              <w:pStyle w:val="Standard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Конструкция : металлическая с порошковым покрытием.</w:t>
            </w:r>
          </w:p>
          <w:p>
            <w:pPr>
              <w:pStyle w:val="Standard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Носилки : съёмные с ложем из нержавеющей стали.</w:t>
            </w:r>
          </w:p>
          <w:p>
            <w:pPr>
              <w:pStyle w:val="Standard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Колеса : резиновые управляемые , диаметр не менее 200 мм.</w:t>
            </w:r>
          </w:p>
          <w:p>
            <w:pPr>
              <w:pStyle w:val="Standard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Блокировка колес : наличие.</w:t>
            </w:r>
          </w:p>
          <w:p>
            <w:pPr>
              <w:pStyle w:val="Standard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Габариты Д/Ш/В не менее : 2100 х 650 х 850 мм.</w:t>
            </w:r>
          </w:p>
          <w:p>
            <w:pPr>
              <w:pStyle w:val="Standard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Грузоподьёмность не менее : 120 кг.</w:t>
            </w:r>
          </w:p>
          <w:p>
            <w:pPr>
              <w:pStyle w:val="Standard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Масса не более : 40 кг.</w:t>
            </w:r>
          </w:p>
        </w:tc>
        <w:tc>
          <w:tcPr>
            <w:tcW w:w="1591" w:type="dxa"/>
            <w:tcBorders>
              <w:right w:val="nil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ru-RU" w:bidi="ar-SA"/>
              </w:rPr>
              <w:t>шт</w:t>
            </w:r>
          </w:p>
        </w:tc>
        <w:tc>
          <w:tcPr>
            <w:tcW w:w="102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ru-RU" w:bidi="ar-SA"/>
              </w:rPr>
              <w:t>2</w:t>
            </w:r>
          </w:p>
        </w:tc>
        <w:tc>
          <w:tcPr>
            <w:tcW w:w="1139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903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46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jc w:val="both"/>
        <w:rPr>
          <w:b/>
        </w:rPr>
      </w:pPr>
      <w:r>
        <w:rPr/>
      </w:r>
    </w:p>
    <w:p>
      <w:pPr>
        <w:pStyle w:val="Normal"/>
        <w:jc w:val="both"/>
        <w:rPr/>
      </w:pPr>
      <w:bookmarkStart w:id="0" w:name="_GoBack"/>
      <w:bookmarkEnd w:id="0"/>
      <w:r>
        <w:rPr>
          <w:b/>
        </w:rPr>
        <w:t>Итого (цена Контракта)</w:t>
      </w:r>
      <w:r>
        <w:rPr/>
        <w:t xml:space="preserve">: </w:t>
      </w:r>
    </w:p>
    <w:p>
      <w:pPr>
        <w:pStyle w:val="Normal"/>
        <w:widowControl/>
        <w:suppressAutoHyphens w:val="true"/>
        <w:bidi w:val="0"/>
        <w:spacing w:before="0" w:after="0"/>
        <w:ind w:firstLine="1871" w:left="680" w:right="0"/>
        <w:jc w:val="left"/>
        <w:rPr>
          <w:b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firstLine="1871" w:left="680" w:right="0"/>
        <w:jc w:val="left"/>
        <w:rPr/>
      </w:pPr>
      <w:r>
        <w:rPr>
          <w:b/>
        </w:rPr>
        <w:t xml:space="preserve">«Заказчик»: </w:t>
        <w:tab/>
        <w:tab/>
        <w:tab/>
        <w:tab/>
        <w:tab/>
        <w:tab/>
        <w:tab/>
        <w:t>«Поставщик»:</w:t>
      </w:r>
    </w:p>
    <w:p>
      <w:pPr>
        <w:pStyle w:val="Normal"/>
        <w:spacing w:lineRule="atLeast" w:line="240"/>
        <w:rPr/>
      </w:pPr>
      <w:r>
        <w:rPr/>
        <w:t xml:space="preserve">       </w:t>
      </w:r>
    </w:p>
    <w:p>
      <w:pPr>
        <w:pStyle w:val="Normal"/>
        <w:spacing w:lineRule="atLeast" w:line="240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tLeast" w:line="240" w:before="0" w:after="0"/>
        <w:ind w:firstLine="1587" w:left="0" w:right="0"/>
        <w:jc w:val="left"/>
        <w:rPr/>
      </w:pPr>
      <w:r>
        <w:rPr/>
        <w:t xml:space="preserve">Главный врач СПБ ГБУЗ «ГПАБ» </w:t>
        <w:tab/>
        <w:tab/>
        <w:tab/>
        <w:t xml:space="preserve">           </w:t>
      </w:r>
    </w:p>
    <w:p>
      <w:pPr>
        <w:pStyle w:val="Normal"/>
        <w:spacing w:lineRule="atLeast" w:line="240"/>
        <w:ind w:firstLine="567"/>
        <w:rPr/>
      </w:pPr>
      <w:r>
        <w:rPr/>
      </w:r>
    </w:p>
    <w:p>
      <w:pPr>
        <w:sectPr>
          <w:type w:val="nextPage"/>
          <w:pgSz w:orient="landscape" w:w="16838" w:h="11906"/>
          <w:pgMar w:left="1134" w:right="1134" w:gutter="0" w:header="0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widowControl/>
        <w:suppressAutoHyphens w:val="true"/>
        <w:bidi w:val="0"/>
        <w:spacing w:lineRule="atLeast" w:line="240" w:before="0" w:after="160"/>
        <w:ind w:firstLine="567" w:left="1020" w:right="0"/>
        <w:jc w:val="left"/>
        <w:rPr/>
      </w:pPr>
      <w:r>
        <w:rPr/>
        <w:t>_____________ (М.Ю. Майская)</w:t>
        <w:tab/>
        <w:tab/>
        <w:t xml:space="preserve">  </w:t>
        <w:tab/>
        <w:tab/>
        <w:tab/>
        <w:t>________________________</w:t>
      </w:r>
    </w:p>
    <w:p>
      <w:pPr>
        <w:pStyle w:val="Normal"/>
        <w:spacing w:before="0" w:after="0"/>
        <w:jc w:val="right"/>
        <w:rPr/>
      </w:pPr>
      <w:r>
        <w:rPr/>
        <w:t>Приложение № 2 к Контракту</w:t>
      </w:r>
    </w:p>
    <w:p>
      <w:pPr>
        <w:pStyle w:val="ListParagraph"/>
        <w:ind w:firstLine="142" w:left="-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от «___»____________2024г. № _______</w:t>
      </w:r>
    </w:p>
    <w:p>
      <w:pPr>
        <w:pStyle w:val="ListParagraph"/>
        <w:ind w:firstLine="142" w:left="-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b/>
        </w:rPr>
      </w:pPr>
      <w:r>
        <w:rPr>
          <w:b/>
        </w:rPr>
        <w:t>1. ТЕХНИЧЕСКОЕ ЗАДАНИЕ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i/>
          <w:i/>
          <w:iCs/>
        </w:rPr>
      </w:pPr>
      <w:r>
        <w:rPr>
          <w:i/>
          <w:iCs/>
        </w:rPr>
        <w:t>Требования к характеристикам товара  указаны в Спецификации ( Приложение № 1 к Контракту)</w:t>
      </w:r>
    </w:p>
    <w:p>
      <w:pPr>
        <w:pStyle w:val="Normal"/>
        <w:jc w:val="both"/>
        <w:rPr>
          <w:b/>
          <w:bCs/>
        </w:rPr>
      </w:pPr>
      <w:r>
        <w:rPr>
          <w:b/>
          <w:bCs/>
        </w:rPr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2.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Порядок и срок </w:t>
      </w:r>
      <w:r>
        <w:rPr>
          <w:rFonts w:cs="Times New Roman" w:ascii="Times New Roman" w:hAnsi="Times New Roman"/>
          <w:b/>
          <w:sz w:val="24"/>
          <w:szCs w:val="24"/>
        </w:rPr>
        <w:t>поставки товара</w:t>
      </w:r>
    </w:p>
    <w:p>
      <w:pPr>
        <w:pStyle w:val="Standard"/>
        <w:ind w:firstLine="709"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2.1. </w:t>
      </w:r>
      <w:r>
        <w:rPr>
          <w:rFonts w:cs="Times New Roman" w:ascii="Times New Roman" w:hAnsi="Times New Roman"/>
          <w:sz w:val="24"/>
          <w:szCs w:val="24"/>
          <w:u w:val="single"/>
        </w:rPr>
        <w:t>Место поставки товара:</w:t>
      </w:r>
      <w:r>
        <w:rPr>
          <w:rFonts w:cs="Times New Roman" w:ascii="Times New Roman" w:hAnsi="Times New Roman"/>
          <w:sz w:val="24"/>
          <w:szCs w:val="24"/>
        </w:rPr>
        <w:t xml:space="preserve"> г. Санкт-Петербург, Троицкий пр-кт д.10 , Адмиралтейское ЦПАО.</w:t>
      </w:r>
    </w:p>
    <w:p>
      <w:pPr>
        <w:pStyle w:val="Standard"/>
        <w:ind w:firstLine="708" w:right="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2.2. </w:t>
      </w:r>
      <w:r>
        <w:rPr>
          <w:rFonts w:cs="Times New Roman" w:ascii="Times New Roman" w:hAnsi="Times New Roman"/>
          <w:sz w:val="24"/>
          <w:szCs w:val="24"/>
          <w:u w:val="single"/>
        </w:rPr>
        <w:t>Сроки поставки товара:</w:t>
      </w:r>
      <w:r>
        <w:rPr>
          <w:rFonts w:cs="Times New Roman" w:ascii="Times New Roman" w:hAnsi="Times New Roman"/>
          <w:sz w:val="24"/>
          <w:szCs w:val="24"/>
        </w:rPr>
        <w:t xml:space="preserve"> в течение 15 (пятнадцати) рабочих дней с момента заключения Контракта но не позднее 25.12.2024 г.</w:t>
      </w:r>
    </w:p>
    <w:p>
      <w:pPr>
        <w:pStyle w:val="Standard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2.3. Товар должен быть новым, не бывшим в употреблении. Поставляемый товар должен быть свободным от прав третьих лиц и не являться предметом залога, ареста или иного обременения. В случае обнаружения товара ненадлежащего качества и/или количества поставщик обязан заменить его на товар надлежащего качества и/или количества в течение 5 (пяти) рабочих дней </w:t>
      </w:r>
      <w:r>
        <w:rPr>
          <w:rStyle w:val="Layout"/>
          <w:rFonts w:cs="Times New Roman" w:ascii="Times New Roman" w:hAnsi="Times New Roman"/>
          <w:sz w:val="24"/>
          <w:szCs w:val="24"/>
        </w:rPr>
        <w:t>с даты получения (либо предполагаемой даты получения, в соответствии с ч. 3 ст. 54 ГК РФ)  Поставщиком уведомления от Заказчика об обнаружении недостатков</w:t>
      </w:r>
      <w:r>
        <w:rPr>
          <w:rFonts w:cs="Times New Roman" w:ascii="Times New Roman" w:hAnsi="Times New Roman"/>
          <w:bCs/>
          <w:sz w:val="24"/>
          <w:szCs w:val="24"/>
        </w:rPr>
        <w:t xml:space="preserve">. </w:t>
      </w:r>
    </w:p>
    <w:p>
      <w:pPr>
        <w:pStyle w:val="Standard"/>
        <w:ind w:firstLine="708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2.4. Товар должен быть безопасным для жизни, здоровья и окружающей среды при обычных условиях его хранения и транспортировки.</w:t>
      </w:r>
    </w:p>
    <w:p>
      <w:pPr>
        <w:pStyle w:val="Standard"/>
        <w:ind w:firstLine="708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2.5. Упаковка поставляемых товаров должна соответствовать действующим стандартам и обеспечивать сохранность товаров при транспортировке, отгрузке и хранении.</w:t>
      </w:r>
    </w:p>
    <w:p>
      <w:pPr>
        <w:pStyle w:val="Standard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2.6. Товар должен быть разрешен к применению на территории Российской Федерации и иметь:</w:t>
      </w:r>
    </w:p>
    <w:p>
      <w:pPr>
        <w:pStyle w:val="Normal"/>
        <w:jc w:val="both"/>
        <w:rPr>
          <w:szCs w:val="21"/>
        </w:rPr>
      </w:pPr>
      <w:r>
        <w:rPr>
          <w:szCs w:val="21"/>
        </w:rPr>
        <w:tab/>
        <w:t>- действующее регистрационное удостоверение на медицинское изделие (Федеральный закон от 21.11.2011 № 323-ФЗ «Об основах охраны здоровья граждан в Российской Федерации» («Российская газета», № 263, 23.11.2011));</w:t>
      </w:r>
    </w:p>
    <w:p>
      <w:pPr>
        <w:pStyle w:val="Normal"/>
        <w:rPr>
          <w:shd w:fill="auto" w:val="clear"/>
        </w:rPr>
      </w:pPr>
      <w:r>
        <w:rPr>
          <w:shd w:fill="auto" w:val="clear"/>
        </w:rPr>
        <w:tab/>
        <w:t>- декларацию о соответствии (сертификат соответствия) или иной документ, подтверждающий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>
      <w:pPr>
        <w:pStyle w:val="Normal"/>
        <w:rPr/>
      </w:pPr>
      <w:r>
        <w:rPr/>
        <w:tab/>
        <w:t>- товар должен соответствовать нормативно-технической документации;</w:t>
      </w:r>
    </w:p>
    <w:p>
      <w:pPr>
        <w:pStyle w:val="Normal"/>
        <w:rPr/>
      </w:pPr>
      <w:r>
        <w:rPr>
          <w:rFonts w:eastAsia="Calibri" w:eastAsiaTheme="minorHAnsi"/>
        </w:rPr>
        <w:tab/>
        <w:t>- инструкцию по сборке и монтажу.</w:t>
      </w:r>
    </w:p>
    <w:p>
      <w:pPr>
        <w:pStyle w:val="2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andard"/>
        <w:ind w:firstLine="708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Поставщик обязан передать Заказчику документы, указанные выше или их заверенные копии вместе с товаром.</w:t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Standard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3</w:t>
      </w:r>
      <w:r>
        <w:rPr>
          <w:rFonts w:cs="Times New Roman" w:ascii="Times New Roman" w:hAnsi="Times New Roman"/>
          <w:b/>
          <w:sz w:val="24"/>
          <w:szCs w:val="24"/>
        </w:rPr>
        <w:t>. Порядок и срок приемки товара</w:t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Standard"/>
        <w:ind w:firstLine="708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3.1. Для проверки поставленного Поставщиком товара, предусмотренного контрактом, в части его соответствия условиям контракта, Заказчик проводит экспертизу. Экспертиза результатов, предусмотренных контрактом, проводится Заказчиком своими силами. Заказчик имеет право для приемки поставленного товара привлекать экспертов, экспертные организации.</w:t>
      </w:r>
    </w:p>
    <w:p>
      <w:pPr>
        <w:pStyle w:val="Normal"/>
        <w:ind w:firstLine="709"/>
        <w:jc w:val="both"/>
        <w:rPr/>
      </w:pPr>
      <w:r>
        <w:rPr/>
        <w:t>3.2. Одновременно с товаром Поставщик передает заказчику, оформленные в установленном  порядке, документы, указанные в пункте 2.6 Технического задания, Акт приема-передачи товара (в двух экземплярах), а также счет, счет-фактуру (при наличии) и товарную накладную.</w:t>
      </w:r>
    </w:p>
    <w:p>
      <w:pPr>
        <w:pStyle w:val="Normal"/>
        <w:ind w:firstLine="709"/>
        <w:jc w:val="both"/>
        <w:rPr/>
      </w:pPr>
      <w:r>
        <w:rPr/>
        <w:t>3.3. Заказчик в течение 5 (пяти) рабочих дней после поставки товара и предоставления документов, предусмотренных пунктом 3.2 Технического задания, проверяет его на соответствие требованиям контракта. По результатам проверки Заказчик подписывает Акт приема-передачи товара либо Поставщику направляется мотивированный отказ от приемки товара с указанием товара, не отвечающего условиям контракта.</w:t>
      </w:r>
    </w:p>
    <w:p>
      <w:pPr>
        <w:pStyle w:val="Standard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3.4. В случае поставки товара с нарушением условий контракта замена некачественного товара либо его доукомплектование осуществляется в соответствии с требованиями Заказчика в течение 5 (пяти) календарный дней </w:t>
      </w:r>
      <w:r>
        <w:rPr>
          <w:rStyle w:val="Layout"/>
          <w:rFonts w:cs="Times New Roman" w:ascii="Times New Roman" w:hAnsi="Times New Roman"/>
          <w:sz w:val="24"/>
          <w:szCs w:val="24"/>
        </w:rPr>
        <w:t>с даты получения (либо предполагаемой даты получения, в соответствии с ч. 3 ст. 54 ГК РФ)  Поставщиком уведомления от Заказчика об обнаружении недостатков</w:t>
      </w:r>
      <w:r>
        <w:rPr>
          <w:rFonts w:cs="Times New Roman" w:ascii="Times New Roman" w:hAnsi="Times New Roman"/>
          <w:bCs/>
          <w:sz w:val="24"/>
          <w:szCs w:val="24"/>
        </w:rPr>
        <w:t xml:space="preserve">. </w:t>
      </w:r>
    </w:p>
    <w:p>
      <w:pPr>
        <w:pStyle w:val="Normal"/>
        <w:ind w:firstLine="709"/>
        <w:jc w:val="both"/>
        <w:rPr/>
      </w:pPr>
      <w:r>
        <w:rPr/>
        <w:t>3.5. После устранения недостатков, послуживших основанием для не подписания Акта приема-передачи товара, Поставщик и Заказчик подписывают Акт приема-передачи товара в порядке и сроки, предусмотренные пунктом 3.3. контракта.</w:t>
      </w:r>
    </w:p>
    <w:p>
      <w:pPr>
        <w:pStyle w:val="Normal"/>
        <w:ind w:firstLine="709"/>
        <w:jc w:val="both"/>
        <w:rPr/>
      </w:pPr>
      <w:r>
        <w:rPr/>
        <w:t>3.6. Заказчик вправе не отказывать в приемке поставленного товара в случае выявления несоответствия этого товара условиям контракта, если выявленное несоответствие не препятствует приемке этого товара и устранено поставщиком.</w:t>
      </w:r>
    </w:p>
    <w:p>
      <w:pPr>
        <w:pStyle w:val="Standard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3.7. Со дня подписания Акта приема-передачи товара Заказчиком все риски случайной гибели, утраты или повреждения товара переходят к Заказчику.</w:t>
      </w:r>
    </w:p>
    <w:p>
      <w:pPr>
        <w:pStyle w:val="Standard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  <w:t>3.8. Датой приемки товара является дата подписания сторонами Акта приема-передачи товара.</w:t>
      </w:r>
    </w:p>
    <w:p>
      <w:pPr>
        <w:pStyle w:val="Standard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</w:r>
    </w:p>
    <w:p>
      <w:pPr>
        <w:pStyle w:val="Normal"/>
        <w:numPr>
          <w:ilvl w:val="0"/>
          <w:numId w:val="0"/>
        </w:numPr>
        <w:ind w:hanging="0" w:left="0"/>
        <w:jc w:val="center"/>
        <w:outlineLvl w:val="1"/>
        <w:rPr/>
      </w:pPr>
      <w:r>
        <w:rPr>
          <w:b/>
          <w:bCs/>
          <w:lang w:eastAsia="en-US"/>
        </w:rPr>
        <w:t>4. Гарантийный срок и (или) объем предоставления гарантий качества товара</w:t>
      </w:r>
    </w:p>
    <w:p>
      <w:pPr>
        <w:pStyle w:val="Normal"/>
        <w:numPr>
          <w:ilvl w:val="0"/>
          <w:numId w:val="0"/>
        </w:numPr>
        <w:ind w:hanging="0" w:left="0"/>
        <w:jc w:val="center"/>
        <w:outlineLvl w:val="1"/>
        <w:rPr>
          <w:shd w:fill="auto" w:val="clear"/>
        </w:rPr>
      </w:pPr>
      <w:r>
        <w:rPr>
          <w:bCs/>
          <w:iCs/>
          <w:shd w:fill="auto" w:val="clear"/>
          <w:lang w:eastAsia="en-US"/>
        </w:rPr>
        <w:t>Гарантийный срок на качество товара –10 (десять) месяцев с даты поставки.</w:t>
      </w:r>
    </w:p>
    <w:p>
      <w:pPr>
        <w:pStyle w:val="Standard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</w:r>
    </w:p>
    <w:p>
      <w:pPr>
        <w:pStyle w:val="Normal"/>
        <w:jc w:val="both"/>
        <w:rPr/>
      </w:pPr>
      <w:r>
        <w:rPr>
          <w:b/>
        </w:rPr>
        <w:t>Заказчик:                                                                                     Поставщик:</w:t>
      </w:r>
    </w:p>
    <w:p>
      <w:pPr>
        <w:pStyle w:val="Normal"/>
        <w:spacing w:lineRule="atLeast" w:line="240"/>
        <w:rPr/>
      </w:pPr>
      <w:r>
        <w:rPr/>
        <w:t xml:space="preserve">Главный врач СПБ ГБУЗ «ГПАБ» </w:t>
        <w:tab/>
        <w:tab/>
        <w:tab/>
        <w:t xml:space="preserve">           </w:t>
      </w:r>
    </w:p>
    <w:p>
      <w:pPr>
        <w:pStyle w:val="Normal"/>
        <w:spacing w:lineRule="atLeast" w:line="240"/>
        <w:ind w:firstLine="567"/>
        <w:rPr/>
      </w:pPr>
      <w:r>
        <w:rPr/>
      </w:r>
    </w:p>
    <w:p>
      <w:pPr>
        <w:pStyle w:val="Normal"/>
        <w:spacing w:lineRule="atLeast" w:line="240" w:before="0" w:after="160"/>
        <w:ind w:firstLine="567"/>
        <w:rPr/>
      </w:pPr>
      <w:r>
        <w:rPr/>
        <w:t>_____________ (М.Ю. Майская)</w:t>
        <w:tab/>
        <w:tab/>
        <w:t xml:space="preserve">  </w:t>
        <w:tab/>
        <w:tab/>
        <w:t>________________________</w:t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</w:p>
    <w:p>
      <w:pPr>
        <w:pStyle w:val="Normal"/>
        <w:spacing w:lineRule="atLeast" w:line="240" w:before="0" w:after="160"/>
        <w:rPr/>
      </w:pPr>
      <w:r>
        <w:rPr/>
      </w:r>
      <w:r>
        <w:br w:type="page"/>
      </w:r>
    </w:p>
    <w:p>
      <w:pPr>
        <w:pStyle w:val="Normal"/>
        <w:spacing w:before="0" w:after="0"/>
        <w:jc w:val="right"/>
        <w:rPr>
          <w:sz w:val="21"/>
          <w:szCs w:val="21"/>
        </w:rPr>
      </w:pPr>
      <w:r>
        <w:rPr>
          <w:sz w:val="21"/>
          <w:szCs w:val="21"/>
        </w:rPr>
        <w:t>Приложение № 3 к Контракту</w:t>
      </w:r>
    </w:p>
    <w:p>
      <w:pPr>
        <w:pStyle w:val="ListParagraph"/>
        <w:ind w:firstLine="142" w:left="-426"/>
        <w:jc w:val="right"/>
        <w:rPr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 xml:space="preserve"> </w:t>
      </w:r>
      <w:r>
        <w:rPr>
          <w:rFonts w:cs="Times New Roman" w:ascii="Times New Roman" w:hAnsi="Times New Roman"/>
          <w:color w:val="000000"/>
          <w:sz w:val="21"/>
          <w:szCs w:val="21"/>
        </w:rPr>
        <w:t>от «___»____________2024г. № _______</w:t>
      </w:r>
    </w:p>
    <w:p>
      <w:pPr>
        <w:pStyle w:val="Normal"/>
        <w:widowControl w:val="false"/>
        <w:ind w:hanging="0" w:left="0" w:right="0"/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_________________________________________________________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Декларация о соответствии участника закупки требованиям, установленным пунктами 3 - 5, 7 – 11 части 1 статьи 31 Федерального закона от 05.04.2013 № 44-ФЗ, которой участник закупки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декларирует: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- непроведение ликвидации участника закупки - юридического лица и отсутствие решения арбитражного суда о признании участника закупки - юридического лица или индивидуального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предпринимателя несостоятельным (банкротом) и об открытии конкурсного производства;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- неприостановление деятельности участника закупки в порядке, установленном Кодексом Российской Федерации об административных правонарушениях;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- отсутствие у участника закупки недоимки по налогам, сборам, задолженности по иным обязательным платежам в бюджеты бюджетной системы Российской Федерации (за исключением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сборах)за прошедший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календарный год, размер которых превышает 25 процентов балансовой стоимости активов участника закупки, по данным бухгалтерской отчетности за последний отчетный период;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- отсутствие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органа, или главного бухгалтера юридического лица- участника закупки судимости за преступления в сфере экономики и (или) преступления, предусмотренные статьями 289, 290, 291,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291.1 Уголовного кодекса Российской Федерации (за исключением лиц, у которых такая судимость погашена или снята),а также неприменение в отношении указанных физических лиц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услуги, являющихся объектом осуществляемой закупки, и административного наказания в виде дисквалификации;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- участник закупки - юридическое лицо, которое в течение 2 лет до момента подачи заявки на участие в закупке не было привлечено к административной ответственности за совершение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административного правонарушения, предусмотренного статьей 19.28 Кодекса Российской Федерации об административных правонарушениях;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- обладание участником закупки исключительными правами на результаты интеллектуальной деятельности;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- отсутствие между участником закупки и заказчиком конфликта интересов, под которым понимаются случаи, при которых руководитель заказчика, член комиссии по осуществлению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закупок, руководитель контрактной службы заказчика, контрактный управляющий состоят в браке с физическими лицами, являющимися выгодоприобретателями,единоличным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исполнительным органом хозяйственного общества(директором, генеральным директором, управляющим, президентом и другими), членами коллегиального исполнительного органа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юридических лиц -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участников закупки,с физическими лицами, в том числе зарегистрированными в качестве индивидуального предпринимателя, - участниками закупки либо являются близкими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общих отца или мать) братьями и сестрами), усыновителями или усыновленными указанных физических лиц;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- участник закупки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лица офшорной компании,а также не имеет офшорных компаний в числе лиц, владеющих напрямую или косвенно (через юридическое лицо или через несколько юридических лиц) более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общества;</w:t>
      </w:r>
    </w:p>
    <w:p>
      <w:pPr>
        <w:pStyle w:val="Normal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>- отсутствие у участника закупки ограничений для участия в закупках, установленных законодательством Российской Федерации.</w:t>
      </w:r>
    </w:p>
    <w:p>
      <w:pPr>
        <w:pStyle w:val="Normal"/>
        <w:widowControl w:val="false"/>
        <w:spacing w:lineRule="auto" w:line="216" w:before="0" w:after="60"/>
        <w:ind w:firstLine="720" w:left="0" w:right="0"/>
        <w:jc w:val="both"/>
        <w:rPr>
          <w:sz w:val="21"/>
          <w:szCs w:val="21"/>
        </w:rPr>
      </w:pPr>
      <w:bookmarkStart w:id="1" w:name="_GoBack1"/>
      <w:bookmarkEnd w:id="1"/>
      <w:r>
        <w:rPr>
          <w:rFonts w:eastAsia="MS Mincho"/>
          <w:color w:val="000000"/>
          <w:sz w:val="21"/>
          <w:szCs w:val="21"/>
        </w:rPr>
        <w:t xml:space="preserve">- участник закупки не является иностранным агентом </w:t>
      </w:r>
    </w:p>
    <w:sectPr>
      <w:type w:val="nextPage"/>
      <w:pgSz w:w="11906" w:h="16838"/>
      <w:pgMar w:left="1134" w:right="850" w:gutter="0" w:header="0" w:top="567" w:footer="0" w:bottom="56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 Narro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854b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Style15" w:customStyle="1">
    <w:name w:val="Символ концевой сноски"/>
    <w:qFormat/>
    <w:rPr/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Hyperlink" w:customStyle="1">
    <w:name w:val="Hyperlink"/>
    <w:rPr>
      <w:color w:val="000080"/>
      <w:u w:val="single"/>
    </w:rPr>
  </w:style>
  <w:style w:type="character" w:styleId="Layout" w:customStyle="1">
    <w:name w:val="layout"/>
    <w:basedOn w:val="DefaultParagraphFont"/>
    <w:qFormat/>
    <w:rsid w:val="00393554"/>
    <w:rPr/>
  </w:style>
  <w:style w:type="character" w:styleId="Style16" w:customStyle="1">
    <w:name w:val="Верхний колонтитул Знак"/>
    <w:basedOn w:val="DefaultParagraphFont"/>
    <w:uiPriority w:val="99"/>
    <w:qFormat/>
    <w:rsid w:val="009627c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rsid w:val="009627c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 Narrow" w:hAnsi="Arial Narrow"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Arial Narrow" w:hAnsi="Arial Narrow"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94920"/>
    <w:pPr>
      <w:spacing w:lineRule="auto" w:line="259" w:before="0" w:after="160"/>
      <w:ind w:hanging="0" w:left="72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qFormat/>
    <w:rsid w:val="008506e0"/>
    <w:pPr/>
    <w:rPr/>
  </w:style>
  <w:style w:type="paragraph" w:styleId="FootnoteText">
    <w:name w:val="Footnote Text"/>
    <w:basedOn w:val="Normal"/>
    <w:pPr>
      <w:suppressLineNumbers/>
      <w:ind w:hanging="339" w:left="339"/>
    </w:pPr>
    <w:rPr>
      <w:sz w:val="20"/>
      <w:szCs w:val="20"/>
    </w:rPr>
  </w:style>
  <w:style w:type="paragraph" w:styleId="Style20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ы"/>
    <w:basedOn w:val="Style20"/>
    <w:qFormat/>
    <w:pPr>
      <w:jc w:val="center"/>
    </w:pPr>
    <w:rPr>
      <w:b/>
      <w:bCs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 w:customStyle="1">
    <w:name w:val="Без интервала2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2">
    <w:name w:val="Колонтитул"/>
    <w:basedOn w:val="Normal"/>
    <w:qFormat/>
    <w:pPr/>
    <w:rPr/>
  </w:style>
  <w:style w:type="paragraph" w:styleId="Style23">
    <w:name w:val="Верхний и нижний колонтитулы"/>
    <w:basedOn w:val="Normal"/>
    <w:qFormat/>
    <w:pPr/>
    <w:rPr/>
  </w:style>
  <w:style w:type="paragraph" w:styleId="Header">
    <w:name w:val="Header"/>
    <w:basedOn w:val="Normal"/>
    <w:link w:val="Style15"/>
    <w:uiPriority w:val="99"/>
    <w:unhideWhenUsed/>
    <w:rsid w:val="009627c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EndnoteReference"/>
    <w:uiPriority w:val="99"/>
    <w:unhideWhenUsed/>
    <w:rsid w:val="009627c5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ce570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gz@gpab.spb.ru" TargetMode="External"/><Relationship Id="rId3" Type="http://schemas.openxmlformats.org/officeDocument/2006/relationships/hyperlink" Target="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Application>LibreOffice/7.6.4.1$Windows_X86_64 LibreOffice_project/e19e193f88cd6c0525a17fb7a176ed8e6a3e2aa1</Application>
  <AppVersion>15.0000</AppVersion>
  <Pages>9</Pages>
  <Words>3305</Words>
  <Characters>23718</Characters>
  <CharactersWithSpaces>27100</CharactersWithSpaces>
  <Paragraphs>209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2023-11-29T11:44:00Z</dcterms:created>
  <dc:creator>Сергеев Алексей Борисович</dc:creator>
  <dc:description/>
  <dc:language>ru-RU</dc:language>
  <cp:lastModifiedBy/>
  <cp:lastPrinted>2024-03-22T11:38:16Z</cp:lastPrinted>
  <dcterms:modified xsi:type="dcterms:W3CDTF">2024-03-27T14:44:39Z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