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jc w:val="center"/>
        <w:rPr>
          <w:rFonts w:hint="default"/>
          <w:b/>
          <w:iCs/>
          <w:sz w:val="22"/>
          <w:szCs w:val="22"/>
          <w:lang w:val="ru-RU"/>
        </w:rPr>
      </w:pPr>
      <w:r>
        <w:rPr>
          <w:b/>
          <w:iCs/>
          <w:sz w:val="22"/>
          <w:szCs w:val="22"/>
        </w:rPr>
        <w:t>Контракт № ТО/ТТО/2</w:t>
      </w:r>
      <w:r>
        <w:rPr>
          <w:rFonts w:hint="default"/>
          <w:b/>
          <w:iCs/>
          <w:sz w:val="22"/>
          <w:szCs w:val="22"/>
          <w:lang w:val="ru-RU"/>
        </w:rPr>
        <w:t>4</w:t>
      </w:r>
    </w:p>
    <w:p>
      <w:pPr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ab/>
      </w:r>
    </w:p>
    <w:p>
      <w:pPr>
        <w:ind w:left="-567" w:right="-142" w:firstLine="56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Санкт-Петербург                                        </w:t>
      </w:r>
      <w:r>
        <w:rPr>
          <w:rFonts w:hint="default"/>
          <w:iCs/>
          <w:sz w:val="22"/>
          <w:szCs w:val="22"/>
          <w:lang w:val="ru-RU"/>
        </w:rPr>
        <w:tab/>
      </w:r>
      <w:r>
        <w:rPr>
          <w:iCs/>
          <w:sz w:val="22"/>
          <w:szCs w:val="22"/>
        </w:rPr>
        <w:t xml:space="preserve">                                 </w:t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 xml:space="preserve">    «</w:t>
      </w:r>
      <w:r>
        <w:rPr>
          <w:rFonts w:hint="default"/>
          <w:iCs/>
          <w:sz w:val="22"/>
          <w:szCs w:val="22"/>
          <w:lang w:val="ru-RU"/>
        </w:rPr>
        <w:t>___</w:t>
      </w:r>
      <w:r>
        <w:rPr>
          <w:iCs/>
          <w:sz w:val="22"/>
          <w:szCs w:val="22"/>
        </w:rPr>
        <w:t xml:space="preserve">» </w:t>
      </w:r>
      <w:r>
        <w:rPr>
          <w:rFonts w:hint="default"/>
          <w:iCs/>
          <w:sz w:val="22"/>
          <w:szCs w:val="22"/>
          <w:lang w:val="ru-RU"/>
        </w:rPr>
        <w:t>______</w:t>
      </w:r>
      <w:r>
        <w:rPr>
          <w:iCs/>
          <w:sz w:val="22"/>
          <w:szCs w:val="22"/>
        </w:rPr>
        <w:t xml:space="preserve"> 202</w:t>
      </w:r>
      <w:r>
        <w:rPr>
          <w:rFonts w:hint="default"/>
          <w:iCs/>
          <w:sz w:val="22"/>
          <w:szCs w:val="22"/>
          <w:lang w:val="ru-RU"/>
        </w:rPr>
        <w:t>4</w:t>
      </w:r>
      <w:r>
        <w:rPr>
          <w:iCs/>
          <w:sz w:val="22"/>
          <w:szCs w:val="22"/>
        </w:rPr>
        <w:t xml:space="preserve"> г.</w:t>
      </w:r>
    </w:p>
    <w:p>
      <w:pPr>
        <w:ind w:left="-567" w:right="-142" w:firstLine="567"/>
        <w:jc w:val="center"/>
        <w:rPr>
          <w:iCs/>
          <w:sz w:val="22"/>
          <w:szCs w:val="22"/>
        </w:rPr>
      </w:pPr>
    </w:p>
    <w:p>
      <w:pPr>
        <w:ind w:left="-567" w:right="-142" w:firstLine="567"/>
        <w:jc w:val="both"/>
        <w:rPr>
          <w:sz w:val="22"/>
          <w:szCs w:val="22"/>
        </w:rPr>
      </w:pPr>
    </w:p>
    <w:p>
      <w:pPr>
        <w:widowControl w:val="0"/>
        <w:tabs>
          <w:tab w:val="left" w:pos="1080"/>
        </w:tabs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Государственное бюджетное учреждение </w:t>
      </w:r>
      <w:r>
        <w:rPr>
          <w:b/>
          <w:sz w:val="22"/>
          <w:szCs w:val="22"/>
          <w:lang w:val="ru-RU"/>
        </w:rPr>
        <w:t>дополнительного</w:t>
      </w:r>
      <w:r>
        <w:rPr>
          <w:rFonts w:hint="default"/>
          <w:b/>
          <w:sz w:val="22"/>
          <w:szCs w:val="22"/>
          <w:lang w:val="ru-RU"/>
        </w:rPr>
        <w:t xml:space="preserve"> образования </w:t>
      </w:r>
      <w:r>
        <w:rPr>
          <w:b/>
          <w:sz w:val="22"/>
          <w:szCs w:val="22"/>
        </w:rPr>
        <w:t>спортивная школа Центрального района Санкт-Петербурга, именуемое в дальнейшем «Заказчик», в лице директора Баранова Михаила Юрьевича, действующего на основании Устава, с одной стороны</w:t>
      </w:r>
      <w:r>
        <w:rPr>
          <w:sz w:val="22"/>
          <w:szCs w:val="22"/>
        </w:rPr>
        <w:t xml:space="preserve">, и </w:t>
      </w:r>
      <w:r>
        <w:rPr>
          <w:rFonts w:hint="default" w:eastAsia="Calibri"/>
          <w:color w:val="000000"/>
          <w:sz w:val="22"/>
          <w:szCs w:val="22"/>
          <w:lang w:val="ru-RU"/>
        </w:rPr>
        <w:t>__________________________</w:t>
      </w:r>
      <w:r>
        <w:rPr>
          <w:rFonts w:eastAsia="Calibri"/>
          <w:color w:val="000000"/>
          <w:sz w:val="22"/>
          <w:szCs w:val="22"/>
        </w:rPr>
        <w:t>,</w:t>
      </w:r>
      <w:r>
        <w:rPr>
          <w:sz w:val="22"/>
          <w:szCs w:val="22"/>
        </w:rPr>
        <w:t xml:space="preserve">  именуемое в дальнейшем «Исполнитель», в  лице </w:t>
      </w:r>
      <w:r>
        <w:rPr>
          <w:rFonts w:hint="default" w:eastAsia="Calibri"/>
          <w:color w:val="000000"/>
          <w:sz w:val="22"/>
          <w:szCs w:val="22"/>
          <w:lang w:val="ru-RU"/>
        </w:rPr>
        <w:t>________________________</w:t>
      </w:r>
      <w:r>
        <w:rPr>
          <w:sz w:val="22"/>
          <w:szCs w:val="22"/>
        </w:rPr>
        <w:t xml:space="preserve">,  действующего  на  основании </w:t>
      </w:r>
      <w:r>
        <w:rPr>
          <w:rFonts w:hint="default"/>
          <w:sz w:val="22"/>
          <w:szCs w:val="22"/>
          <w:lang w:val="ru-RU"/>
        </w:rPr>
        <w:t>________</w:t>
      </w:r>
      <w:r>
        <w:rPr>
          <w:sz w:val="22"/>
          <w:szCs w:val="22"/>
        </w:rPr>
        <w:t>, с другой стороны, именуемые при совместном упоминании Стороны, а по отдельности «Сторона», заключили настоящий Контракт (далее – Контракт) о нижеследующем:</w:t>
      </w:r>
    </w:p>
    <w:p>
      <w:pPr>
        <w:widowControl w:val="0"/>
        <w:tabs>
          <w:tab w:val="left" w:pos="108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>
      <w:pPr>
        <w:pStyle w:val="15"/>
        <w:numPr>
          <w:ilvl w:val="0"/>
          <w:numId w:val="1"/>
        </w:numPr>
        <w:tabs>
          <w:tab w:val="left" w:pos="0"/>
          <w:tab w:val="left" w:pos="10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ПРЕДМЕТ </w:t>
      </w:r>
      <w:r>
        <w:rPr>
          <w:b/>
          <w:bCs/>
          <w:sz w:val="22"/>
          <w:szCs w:val="22"/>
        </w:rPr>
        <w:t>КОНТРАКТ</w:t>
      </w:r>
      <w:r>
        <w:rPr>
          <w:b/>
          <w:sz w:val="22"/>
          <w:szCs w:val="22"/>
        </w:rPr>
        <w:t>А</w:t>
      </w:r>
    </w:p>
    <w:p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1.1. </w:t>
      </w:r>
      <w:r>
        <w:rPr>
          <w:sz w:val="22"/>
          <w:szCs w:val="22"/>
        </w:rPr>
        <w:t xml:space="preserve">Исполнитель принимает на себя обязательство выполнять, в течение срока действия настоящего Контракта, </w:t>
      </w:r>
      <w:r>
        <w:rPr>
          <w:b/>
          <w:sz w:val="22"/>
          <w:szCs w:val="22"/>
        </w:rPr>
        <w:t xml:space="preserve">техническое обслуживание технологического оборудования, поверку и ремонт весового оборудования </w:t>
      </w:r>
      <w:r>
        <w:rPr>
          <w:sz w:val="22"/>
          <w:szCs w:val="22"/>
        </w:rPr>
        <w:t xml:space="preserve">(далее – оборудование) для нужд </w:t>
      </w:r>
      <w:r>
        <w:rPr>
          <w:b/>
          <w:sz w:val="22"/>
          <w:szCs w:val="22"/>
        </w:rPr>
        <w:t>Государственного бюджетного учреждения</w:t>
      </w:r>
      <w:r>
        <w:rPr>
          <w:rFonts w:hint="default"/>
          <w:b/>
          <w:sz w:val="22"/>
          <w:szCs w:val="22"/>
          <w:lang w:val="ru-RU"/>
        </w:rPr>
        <w:t xml:space="preserve"> дополнительного образования</w:t>
      </w:r>
      <w:r>
        <w:rPr>
          <w:b/>
          <w:sz w:val="22"/>
          <w:szCs w:val="22"/>
        </w:rPr>
        <w:t xml:space="preserve"> спортивная школа Центрального района Санкт-Петербурга</w:t>
      </w:r>
      <w:r>
        <w:rPr>
          <w:sz w:val="22"/>
          <w:szCs w:val="22"/>
        </w:rPr>
        <w:t xml:space="preserve"> в 202</w:t>
      </w:r>
      <w:r>
        <w:rPr>
          <w:rFonts w:hint="default"/>
          <w:sz w:val="22"/>
          <w:szCs w:val="22"/>
          <w:lang w:val="ru-RU"/>
        </w:rPr>
        <w:t>4</w:t>
      </w:r>
      <w:r>
        <w:rPr>
          <w:sz w:val="22"/>
          <w:szCs w:val="22"/>
        </w:rPr>
        <w:t xml:space="preserve"> году</w:t>
      </w:r>
      <w:r>
        <w:rPr>
          <w:bCs/>
          <w:sz w:val="22"/>
          <w:szCs w:val="22"/>
        </w:rPr>
        <w:t xml:space="preserve">, </w:t>
      </w:r>
      <w:r>
        <w:rPr>
          <w:sz w:val="22"/>
          <w:szCs w:val="22"/>
        </w:rPr>
        <w:t>а Заказчик обязуется принимать оказанные услуги и оплачивать их в порядке, определенном настоящим Контрактом.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bookmarkStart w:id="0" w:name="_Hlk59709735"/>
      <w:r>
        <w:rPr>
          <w:color w:val="333333"/>
          <w:sz w:val="22"/>
          <w:szCs w:val="22"/>
          <w:shd w:val="clear" w:color="auto" w:fill="FFFFFF"/>
        </w:rPr>
        <w:t>1.2. Исполнитель оказывает услуги в соответствии условиями настоящего Контракта, а также с перечнем обслуживаемого оборудования (Приложение № 1 к Контракту), перечнем услуг (Приложение № 2 к Контракту), которые являются неотъемлемыми частями настоящего Контракта и определяют объем, содержание услуг и другие, предъявляемые к ним требования.</w:t>
      </w:r>
      <w:r>
        <w:rPr>
          <w:bCs/>
          <w:sz w:val="22"/>
          <w:szCs w:val="22"/>
        </w:rPr>
        <w:t xml:space="preserve"> </w:t>
      </w:r>
    </w:p>
    <w:bookmarkEnd w:id="0"/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ar-SA"/>
        </w:rPr>
      </w:pPr>
      <w:r>
        <w:rPr>
          <w:bCs/>
          <w:sz w:val="22"/>
          <w:szCs w:val="22"/>
        </w:rPr>
        <w:t xml:space="preserve">1.3. </w:t>
      </w:r>
      <w:r>
        <w:rPr>
          <w:sz w:val="22"/>
          <w:szCs w:val="22"/>
          <w:lang w:eastAsia="ar-SA"/>
        </w:rPr>
        <w:t xml:space="preserve">Срок оказания услуг: 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Начало оказания услуг: с 01.06.202</w:t>
      </w:r>
      <w:r>
        <w:rPr>
          <w:rFonts w:hint="default"/>
          <w:sz w:val="22"/>
          <w:szCs w:val="22"/>
          <w:lang w:val="ru-RU" w:eastAsia="ar-SA"/>
        </w:rPr>
        <w:t>4</w:t>
      </w:r>
      <w:r>
        <w:rPr>
          <w:sz w:val="22"/>
          <w:szCs w:val="22"/>
          <w:lang w:eastAsia="ar-SA"/>
        </w:rPr>
        <w:t xml:space="preserve"> года.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Окончание оказания услуг по: 31.08.202</w:t>
      </w:r>
      <w:r>
        <w:rPr>
          <w:rFonts w:hint="default"/>
          <w:sz w:val="22"/>
          <w:szCs w:val="22"/>
          <w:lang w:val="ru-RU" w:eastAsia="ar-SA"/>
        </w:rPr>
        <w:t>4</w:t>
      </w:r>
      <w:r>
        <w:rPr>
          <w:sz w:val="22"/>
          <w:szCs w:val="22"/>
          <w:lang w:eastAsia="ar-SA"/>
        </w:rPr>
        <w:t xml:space="preserve"> года.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/>
          <w:color w:val="000000"/>
          <w:sz w:val="22"/>
          <w:szCs w:val="22"/>
        </w:rPr>
      </w:pPr>
      <w:r>
        <w:rPr>
          <w:bCs/>
          <w:sz w:val="22"/>
          <w:szCs w:val="22"/>
        </w:rPr>
        <w:t xml:space="preserve">1.4. </w:t>
      </w:r>
      <w:r>
        <w:rPr>
          <w:sz w:val="22"/>
          <w:szCs w:val="22"/>
        </w:rPr>
        <w:t xml:space="preserve">Местом </w:t>
      </w:r>
      <w:r>
        <w:rPr>
          <w:sz w:val="22"/>
          <w:szCs w:val="22"/>
          <w:lang w:eastAsia="ar-SA"/>
        </w:rPr>
        <w:t>оказания услуг</w:t>
      </w:r>
      <w:r>
        <w:rPr>
          <w:sz w:val="22"/>
          <w:szCs w:val="22"/>
        </w:rPr>
        <w:t xml:space="preserve">: </w:t>
      </w:r>
      <w:r>
        <w:rPr>
          <w:b/>
          <w:color w:val="000000"/>
          <w:sz w:val="22"/>
          <w:szCs w:val="22"/>
        </w:rPr>
        <w:t>Ленинградская область, Всеволожский район, 36 км Приозерского шоссе, спортивная база «Гимнаст».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  <w:lang w:eastAsia="ar-SA"/>
        </w:rPr>
      </w:pPr>
    </w:p>
    <w:p>
      <w:pPr>
        <w:pStyle w:val="15"/>
        <w:widowControl w:val="0"/>
        <w:numPr>
          <w:ilvl w:val="0"/>
          <w:numId w:val="1"/>
        </w:numPr>
        <w:suppressAutoHyphens/>
        <w:autoSpaceDE w:val="0"/>
        <w:jc w:val="center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ЦЕНА КОНТРАКТА, СРОК И ПОРЯДОК РАСЧЕТОВ</w:t>
      </w:r>
    </w:p>
    <w:p>
      <w:pPr>
        <w:widowControl w:val="0"/>
        <w:ind w:firstLine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2.1. Стоимость Услуг по настоящему Контракту (стоимость Контракта) составляет </w:t>
      </w:r>
      <w:r>
        <w:rPr>
          <w:rFonts w:hint="default"/>
          <w:b/>
          <w:bCs/>
          <w:color w:val="000000"/>
          <w:sz w:val="22"/>
          <w:szCs w:val="22"/>
          <w:lang w:val="ru-RU"/>
        </w:rPr>
        <w:t>_______</w:t>
      </w:r>
      <w:r>
        <w:rPr>
          <w:b/>
          <w:sz w:val="22"/>
          <w:szCs w:val="22"/>
        </w:rPr>
        <w:t>рублей (</w:t>
      </w:r>
      <w:r>
        <w:rPr>
          <w:rFonts w:hint="default"/>
          <w:b/>
          <w:sz w:val="22"/>
          <w:szCs w:val="22"/>
          <w:lang w:val="ru-RU"/>
        </w:rPr>
        <w:t>_________________</w:t>
      </w:r>
      <w:r>
        <w:rPr>
          <w:b/>
          <w:sz w:val="22"/>
          <w:szCs w:val="22"/>
        </w:rPr>
        <w:t xml:space="preserve"> рублей </w:t>
      </w:r>
      <w:r>
        <w:rPr>
          <w:rFonts w:hint="default"/>
          <w:b/>
          <w:sz w:val="22"/>
          <w:szCs w:val="22"/>
          <w:lang w:val="ru-RU"/>
        </w:rPr>
        <w:t>______</w:t>
      </w:r>
      <w:r>
        <w:rPr>
          <w:b/>
          <w:sz w:val="22"/>
          <w:szCs w:val="22"/>
        </w:rPr>
        <w:t xml:space="preserve"> копеек)</w:t>
      </w:r>
      <w:r>
        <w:rPr>
          <w:b/>
          <w:bCs/>
          <w:sz w:val="22"/>
          <w:szCs w:val="22"/>
        </w:rPr>
        <w:t xml:space="preserve">, </w:t>
      </w:r>
      <w:r>
        <w:rPr>
          <w:b w:val="0"/>
          <w:bCs w:val="0"/>
          <w:sz w:val="22"/>
          <w:szCs w:val="22"/>
          <w:lang w:val="ru-RU"/>
        </w:rPr>
        <w:t>НДС</w:t>
      </w:r>
      <w:r>
        <w:rPr>
          <w:rFonts w:hint="default"/>
          <w:b w:val="0"/>
          <w:bCs w:val="0"/>
          <w:sz w:val="22"/>
          <w:szCs w:val="22"/>
          <w:lang w:val="ru-RU"/>
        </w:rPr>
        <w:t xml:space="preserve"> облагается/</w:t>
      </w:r>
      <w:r>
        <w:rPr>
          <w:b w:val="0"/>
          <w:bCs w:val="0"/>
          <w:sz w:val="22"/>
          <w:szCs w:val="22"/>
        </w:rPr>
        <w:t>НДС не облагае</w:t>
      </w:r>
      <w:r>
        <w:rPr>
          <w:sz w:val="22"/>
          <w:szCs w:val="22"/>
        </w:rPr>
        <w:t xml:space="preserve">тся в связи с применением </w:t>
      </w:r>
      <w:r>
        <w:rPr>
          <w:rFonts w:hint="default"/>
          <w:sz w:val="22"/>
          <w:szCs w:val="22"/>
          <w:lang w:val="ru-RU"/>
        </w:rPr>
        <w:t>________________</w:t>
      </w:r>
      <w:r>
        <w:rPr>
          <w:sz w:val="22"/>
          <w:szCs w:val="22"/>
        </w:rPr>
        <w:t>(</w:t>
      </w:r>
      <w:r>
        <w:rPr>
          <w:rFonts w:hint="default"/>
          <w:spacing w:val="1"/>
          <w:sz w:val="22"/>
          <w:szCs w:val="22"/>
          <w:lang w:val="ru-RU"/>
        </w:rPr>
        <w:t>________</w:t>
      </w:r>
      <w:r>
        <w:rPr>
          <w:spacing w:val="1"/>
          <w:sz w:val="22"/>
          <w:szCs w:val="22"/>
        </w:rPr>
        <w:t xml:space="preserve"> Налогового кодекса РФ</w:t>
      </w:r>
      <w:r>
        <w:rPr>
          <w:sz w:val="22"/>
          <w:szCs w:val="22"/>
        </w:rPr>
        <w:t>).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Стоимость услуг включает в себя все расходы, в том числе </w:t>
      </w:r>
      <w:r>
        <w:rPr>
          <w:iCs/>
          <w:sz w:val="22"/>
          <w:szCs w:val="22"/>
        </w:rPr>
        <w:t>с учетом затрат на доставку, разгрузку, установку, монтаж, замену оборудования, включая стоимость расходных материалов, в том числе расходы на перевозку, страхование, таможенные пошлины, уплату налогов, сборов и других обязательных платежей</w:t>
      </w:r>
      <w:r>
        <w:rPr>
          <w:sz w:val="22"/>
          <w:szCs w:val="22"/>
        </w:rPr>
        <w:t>.</w:t>
      </w:r>
    </w:p>
    <w:p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2.3. Источник финансирования: «Внебюджетные средства: Субсидии на иные цели / Остатки субсидий на иные цели /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деятельности».</w:t>
      </w:r>
    </w:p>
    <w:p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Оплата услуг производится Заказчиком ежемесячно по факту оказания Исполнителем услуг в течение 10 (десяти) рабочих дней после подписания Заказчиком акта сдачи-приемки оказанных услуг, в пределах стоимости контракта. Основанием для оплаты выполненных Исполнителем услуг являются: акт сдачи-приемки оказанных услуг, подписанный Сторонами, счет. </w:t>
      </w:r>
    </w:p>
    <w:p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2.5. Авансирование услуг не предусмотрено.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2.6. Услуги, оказанные Исполнителем с отклонениями от условий настоящего Контракта, не подлежат приёмке и оплате Заказчиком.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2.7. Заказчик, в соответствии с Гражданским кодексом Российской Федерации (далее ГК РФ) имеет возможность прекратить обязательство зачетом встречного однородного требования, срок которого наступил.</w:t>
      </w:r>
    </w:p>
    <w:p>
      <w:pPr>
        <w:widowControl w:val="0"/>
        <w:autoSpaceDE w:val="0"/>
        <w:autoSpaceDN w:val="0"/>
        <w:adjustRightInd w:val="0"/>
        <w:ind w:right="88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2.8. </w:t>
      </w:r>
      <w:r>
        <w:rPr>
          <w:bCs/>
          <w:sz w:val="22"/>
          <w:szCs w:val="22"/>
        </w:rPr>
        <w:t>Датой сдачи оказанных услуг считается дата подписания Сторонами акта сдачи-приёмки оказанных услуг.</w:t>
      </w:r>
    </w:p>
    <w:p>
      <w:pPr>
        <w:tabs>
          <w:tab w:val="left" w:pos="567"/>
          <w:tab w:val="left" w:pos="851"/>
        </w:tabs>
        <w:jc w:val="both"/>
        <w:rPr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2.9. Предусматривается уменьшение суммы, подлежащей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2.10. 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>
      <w:pPr>
        <w:widowControl w:val="0"/>
        <w:ind w:right="-54"/>
        <w:jc w:val="center"/>
        <w:rPr>
          <w:b/>
          <w:sz w:val="22"/>
          <w:szCs w:val="22"/>
        </w:rPr>
      </w:pPr>
    </w:p>
    <w:p>
      <w:pPr>
        <w:pStyle w:val="15"/>
        <w:widowControl w:val="0"/>
        <w:numPr>
          <w:ilvl w:val="0"/>
          <w:numId w:val="1"/>
        </w:numPr>
        <w:ind w:right="-57"/>
        <w:jc w:val="center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ПРАВА И ОБЯЗАННОСТИ СТОРОН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3.1. </w:t>
      </w:r>
      <w:r>
        <w:rPr>
          <w:b/>
          <w:bCs/>
          <w:sz w:val="22"/>
          <w:szCs w:val="22"/>
        </w:rPr>
        <w:t>Исполнитель обязан: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3.1.1. Оказывать услуги своевременно, качественно и в полном объеме согласно п. 1.2 настоящего Контракта.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3.1.2.</w:t>
      </w:r>
      <w:r>
        <w:rPr>
          <w:bCs/>
          <w:sz w:val="22"/>
          <w:szCs w:val="22"/>
        </w:rPr>
        <w:tab/>
      </w:r>
      <w:r>
        <w:rPr>
          <w:b/>
          <w:bCs/>
          <w:i/>
          <w:sz w:val="22"/>
          <w:szCs w:val="22"/>
        </w:rPr>
        <w:t>Перед началом оказания услуг</w:t>
      </w:r>
      <w:r>
        <w:rPr>
          <w:bCs/>
          <w:sz w:val="22"/>
          <w:szCs w:val="22"/>
        </w:rPr>
        <w:t xml:space="preserve"> Исполнитель должен предоставить Заказчику инструкцию по взаимодействию (в свободной форме), с указанием контактных телефонов и иной информации, необходимой для подачи заявок Заказчиком и осуществления своевременного информирования о ходе и результатах исполнения Сторонами обязательств по настоящему Контракту.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3.1.3.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Исполнитель обязан предоставить Заказчику список сотрудников Исполнителя допущенных к работам с указанием сведений о допуске на выполнение работ по электробезопасности, а также соответствующие сведения о привлекаемых субподрядных организациях и их персонале.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3.1.4.</w:t>
      </w:r>
      <w:r>
        <w:rPr>
          <w:bCs/>
          <w:sz w:val="22"/>
          <w:szCs w:val="22"/>
        </w:rPr>
        <w:tab/>
      </w:r>
      <w:r>
        <w:rPr>
          <w:b/>
          <w:bCs/>
          <w:i/>
          <w:sz w:val="22"/>
          <w:szCs w:val="22"/>
        </w:rPr>
        <w:t>Подтвердить факт начала оказания услуг</w:t>
      </w:r>
      <w:r>
        <w:rPr>
          <w:bCs/>
          <w:sz w:val="22"/>
          <w:szCs w:val="22"/>
        </w:rPr>
        <w:t xml:space="preserve"> посредством составления Акта первичного осмотра оборудования (Приложение №3 к настоящему Контракту), в течение 3 (трех) рабочих дней с даты заключения контракта.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3.1.5.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Исполнитель обязан проводить работы персоналом соответствующей квалификации, аттестованным по «ПТЭ и ПТБ при эксплуатации электроустановок потребителей». Качество выполнения работ, а также используемых материалов (комплектующих и оборудования) должно соответствовать нормативно-технической и методической документации:</w:t>
      </w:r>
    </w:p>
    <w:p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426"/>
        <w:jc w:val="both"/>
        <w:rPr>
          <w:bCs/>
          <w:sz w:val="22"/>
          <w:szCs w:val="22"/>
        </w:rPr>
      </w:pPr>
      <w:r>
        <w:rPr>
          <w:rFonts w:eastAsia="Calibri"/>
          <w:sz w:val="22"/>
          <w:szCs w:val="22"/>
        </w:rPr>
        <w:t xml:space="preserve">СП 76.13330.2016 </w:t>
      </w:r>
      <w:r>
        <w:rPr>
          <w:bCs/>
          <w:sz w:val="22"/>
          <w:szCs w:val="22"/>
        </w:rPr>
        <w:t>«Электротехнические устройства» (Утв. постановлением Государственного комитета СССР по делам строительства от 11 декабря 1985 года №215);</w:t>
      </w:r>
    </w:p>
    <w:p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Федеральный закон от 30.03.1999 № 52-ФЗ «О санитарно-эпидемиологическом благополучии населения» (Российская газета №64-65 от 06.04.1999 г.).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3.1.6.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Устранять в течение двух суток (в черте города) по аварийным вызовам "Заказчика", неисправности оборудования, возникшие в процессе эксплуатации и подлежащие устранению на месте.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3.1.7.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Гарантировать качество выполняемых работ по ремонту оборудования согласно техническим условиям и безвозмездно исправлять все допущенные им недостатки, за исключением: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случаев выхода из строя вследствие нарушения Заказчиком правил эксплуатации оборудования и требований техники безопасности;</w:t>
      </w:r>
    </w:p>
    <w:p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случаев привлечения Заказчиком посторонних лиц для ремонта оборудования.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3.1.8.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Проводить все работы в соответствии с нормативными документами на оборудование. В случае некачественного обслуживания Исполнителем оборудования, повлекшее выход из строя оборудования или его части, Исполнитель проводит замену этого оборудования или его части в разумные сроки.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3.1.9.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Устранять дефекты выполненных работ своими силами и за свой счет.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3.1.10.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При оказании услуг / выполнении работ обеспечивать соблюдение мероприятий противопожарной безопасности, охраны окружающей среды, охраны труда и безопасности на объекте, соблюдать требования нормативных правовых актов, СНиП, ГОСТ.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3.1.11.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В случае досрочного расторжения Контракта Исполнитель обязан сдать Заказчику все оборудование в работоспособном состоянии.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3.1.12.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Исполнитель не несет ответственности за обнаруженные заводские дефекты оборудования, но участвует в составлении актов-рекламаций и его списании.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3.1.13. С согласия Заказчика в сроки, письменно согласованные с Заказчиком, своими силами и за свой счет производить демонтаж и монтаж (включая пуско-наладочные работы) неисправного оборудования (отдельных его частей) в ремонт, в случае установленной необходимости устранения дефекта (неисправностей) в оборудовании вне места его установки (расположения).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3.1.14. В случае выявления нецелесообразности ремонта и непригодности оборудования для дальнейшей эксплуатации, известить Заказчика об этом в виде технического заключения, в течение 3(трех) рабочих дней с момента обнаружения дефекта.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3.1.15. Безвозмездно устранять все допущенные по своей вине недостатки, выявленные Заказчиком в течение срока действия настоящего Контракта.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3.1.16. Транспортировать оборудование в ремонт и обратно собственным транспортом.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3.2.</w:t>
      </w:r>
      <w:r>
        <w:rPr>
          <w:b/>
          <w:bCs/>
          <w:sz w:val="22"/>
          <w:szCs w:val="22"/>
        </w:rPr>
        <w:t xml:space="preserve"> Заказчик обязан: 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3.2.1. Использовать оборудование в соответствии с требованиями технички безопасности, техническими инструкциями, правилами эксплуатации, предписаниями завода-изготовителя.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3.2.2. Обеспечивать сохранность оборудования и приборов автоматики.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3.2.3. Обеспечивать свободный доступ представителям Исполнителя к оборудованию, по возможности выделять рабочее место на время проведения работ. 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3.2.4. При обнаружении неисправности оборудования, немедленно прекратить эксплуатацию, отключить от электросети и направить заявку в диспетчерскую службу Исполнителя в соответствии с предоставленной Исполнителем инструкцией о взаимодействии (согласно п.3.1.2 настоящего Контракта).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3.2.5. Осуществлять приемку оказанных услуг, подписывать и заверять печатью представленные Исполнителем приемные акты.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3.2.6. Не допускать посторонних лиц к ремонту и наладке оборудования, автоматики и системы электрозащиты.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3.2.7. Проводить оплату в порядке, установленном настоящим Контрактом.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3.2.8. Для проверки представленных Исполнителем результатов, предусмотренных Контрактом, в части их соответствия условиям Контракта (оказание услуг) Заказчиком проводится экспертиза.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44-ФЗ от 05.04.2013. По решению заказчика для приемки оказанных услуг может создаваться приемочная комиссия. По результатам экспертизы оформляется заключение, которое подписывается экспертом, уполномоченным представителем экспертной организации. В случае, если по результатам такой экспертизы оказанные услуги соответствуют условиям контракта, Сторонами контракта подписывается акт о приемке оказанных услуг. В случае, если по результатам экспертизы установлены нарушения требований Контракта, не препятствующие приемке услуг, в заключении могут содержаться предложения об устранении данных нарушений, в том числе с указанием срока их устранения. Акт о приемке оказанных услуг в таком случае подписывается Сторонами контракта по факту устранения указанных замечаний. Приемка результатов оформляется документом о приемке – акте оказания услуг, подписываемом сторонами, экспертным заключением.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3.2.9. </w:t>
      </w:r>
      <w:r>
        <w:rPr>
          <w:sz w:val="22"/>
          <w:szCs w:val="22"/>
        </w:rPr>
        <w:t>Возместить фактически понесенный ущерб за счет денежных средств, внесенных в качестве обеспечения исполнения контракта, в случае одностороннего отказа заказчика от исполнения контракта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3.3. </w:t>
      </w:r>
      <w:r>
        <w:rPr>
          <w:b/>
          <w:bCs/>
          <w:sz w:val="22"/>
          <w:szCs w:val="22"/>
        </w:rPr>
        <w:t>Заказчик вправе: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iCs/>
          <w:sz w:val="22"/>
          <w:szCs w:val="22"/>
        </w:rPr>
      </w:pPr>
      <w:r>
        <w:rPr>
          <w:bCs/>
          <w:sz w:val="22"/>
          <w:szCs w:val="22"/>
        </w:rPr>
        <w:t>3.3.1. Т</w:t>
      </w:r>
      <w:r>
        <w:rPr>
          <w:iCs/>
          <w:sz w:val="22"/>
          <w:szCs w:val="22"/>
        </w:rPr>
        <w:t>ребовать надлежащего исполнения Исполнителем условий Контракта.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iCs/>
          <w:sz w:val="22"/>
          <w:szCs w:val="22"/>
        </w:rPr>
        <w:t xml:space="preserve">3.3.2. </w:t>
      </w:r>
      <w:r>
        <w:rPr>
          <w:sz w:val="22"/>
          <w:szCs w:val="22"/>
        </w:rPr>
        <w:t>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 в экспертизе оказанных услуг.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3.3.3. Контролировать ход оказания услуг, соблюдение их сроков, проверять соответствие </w:t>
      </w:r>
      <w:r>
        <w:rPr>
          <w:bCs/>
          <w:sz w:val="22"/>
          <w:szCs w:val="22"/>
        </w:rPr>
        <w:t xml:space="preserve">оказанных услуг </w:t>
      </w:r>
      <w:r>
        <w:rPr>
          <w:sz w:val="22"/>
          <w:szCs w:val="22"/>
        </w:rPr>
        <w:t xml:space="preserve">условиям настоящего </w:t>
      </w:r>
      <w:r>
        <w:rPr>
          <w:bCs/>
          <w:sz w:val="22"/>
          <w:szCs w:val="22"/>
        </w:rPr>
        <w:t>Контракт</w:t>
      </w:r>
      <w:r>
        <w:rPr>
          <w:sz w:val="22"/>
          <w:szCs w:val="22"/>
        </w:rPr>
        <w:t xml:space="preserve">а и приложений к нему. Запрашивать информацию о ходе и состоянии исполнения обязательств по </w:t>
      </w:r>
      <w:r>
        <w:rPr>
          <w:bCs/>
          <w:sz w:val="22"/>
          <w:szCs w:val="22"/>
        </w:rPr>
        <w:t>Контракт</w:t>
      </w:r>
      <w:r>
        <w:rPr>
          <w:sz w:val="22"/>
          <w:szCs w:val="22"/>
        </w:rPr>
        <w:t xml:space="preserve">у. 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 </w:t>
      </w:r>
      <w:r>
        <w:rPr>
          <w:b/>
          <w:sz w:val="22"/>
          <w:szCs w:val="22"/>
        </w:rPr>
        <w:t>Исполнитель вправе: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3.4.1. </w:t>
      </w:r>
      <w:r>
        <w:rPr>
          <w:sz w:val="22"/>
          <w:szCs w:val="22"/>
          <w:lang w:eastAsia="ar-SA"/>
        </w:rPr>
        <w:t xml:space="preserve">Привлекать к оказанию услуг по настоящему </w:t>
      </w:r>
      <w:r>
        <w:rPr>
          <w:bCs/>
          <w:sz w:val="22"/>
          <w:szCs w:val="22"/>
        </w:rPr>
        <w:t>Контракт</w:t>
      </w:r>
      <w:r>
        <w:rPr>
          <w:sz w:val="22"/>
          <w:szCs w:val="22"/>
          <w:lang w:eastAsia="ar-SA"/>
        </w:rPr>
        <w:t>у субподрядчиков, за действия которых несет ответственность перед Заказчиком.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РФ.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3.4.2. </w:t>
      </w:r>
      <w:r>
        <w:rPr>
          <w:iCs/>
          <w:sz w:val="22"/>
          <w:szCs w:val="22"/>
        </w:rPr>
        <w:t>Исполнитель вправе требовать надлежащего исполнения Заказчиком условий контракта.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3.5. </w:t>
      </w:r>
      <w:r>
        <w:rPr>
          <w:sz w:val="22"/>
          <w:szCs w:val="22"/>
          <w:lang w:eastAsia="ar-SA"/>
        </w:rPr>
        <w:t xml:space="preserve">При исполнении настоящего </w:t>
      </w:r>
      <w:r>
        <w:rPr>
          <w:bCs/>
          <w:sz w:val="22"/>
          <w:szCs w:val="22"/>
        </w:rPr>
        <w:t>Контракт</w:t>
      </w:r>
      <w:r>
        <w:rPr>
          <w:sz w:val="22"/>
          <w:szCs w:val="22"/>
          <w:lang w:eastAsia="ar-SA"/>
        </w:rPr>
        <w:t xml:space="preserve">а не допускается перемена Исполнителя, в том числе путем уступки прав и перевода долга по </w:t>
      </w:r>
      <w:r>
        <w:rPr>
          <w:bCs/>
          <w:sz w:val="22"/>
          <w:szCs w:val="22"/>
        </w:rPr>
        <w:t>Контракт</w:t>
      </w:r>
      <w:r>
        <w:rPr>
          <w:sz w:val="22"/>
          <w:szCs w:val="22"/>
          <w:lang w:eastAsia="ar-SA"/>
        </w:rPr>
        <w:t>у, за исключением случаев реорганизации Исполнителя в форме преобразования, слияния или присоединения.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</w:p>
    <w:p>
      <w:pPr>
        <w:pStyle w:val="15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ПОРЯДОК СДАЧИ И ПРИЕМКИ РАБОТ</w:t>
      </w:r>
    </w:p>
    <w:p>
      <w:pPr>
        <w:tabs>
          <w:tab w:val="left" w:pos="540"/>
        </w:tabs>
        <w:ind w:firstLine="567"/>
      </w:pPr>
      <w:bookmarkStart w:id="1" w:name="_Hlk59710540"/>
      <w:bookmarkStart w:id="2" w:name="_Hlk59715925"/>
      <w:r>
        <w:rPr>
          <w:sz w:val="22"/>
          <w:szCs w:val="22"/>
        </w:rPr>
        <w:t>4.1</w:t>
      </w:r>
      <w:bookmarkStart w:id="3" w:name="_Hlk59715161"/>
      <w:r>
        <w:rPr>
          <w:sz w:val="22"/>
          <w:szCs w:val="22"/>
        </w:rPr>
        <w:t>. По завершении оказания услуг Исполнитель представляет Заказчику счет и акт сдачи-приемки оказанных услуг</w:t>
      </w:r>
      <w:r>
        <w:t>.</w:t>
      </w:r>
    </w:p>
    <w:bookmarkEnd w:id="1"/>
    <w:bookmarkEnd w:id="3"/>
    <w:p>
      <w:pPr>
        <w:widowControl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Стороны в течение 5-ти рабочих дней </w:t>
      </w:r>
      <w:r>
        <w:rPr>
          <w:sz w:val="22"/>
          <w:szCs w:val="22"/>
        </w:rPr>
        <w:t>после завершения оказания услуг</w:t>
      </w:r>
      <w:r>
        <w:rPr>
          <w:color w:val="000000"/>
          <w:sz w:val="22"/>
          <w:szCs w:val="22"/>
        </w:rPr>
        <w:t xml:space="preserve"> осуществляют приемку оказанных услуг и удостоверяют ее актом сдачи-приемки оказанных услуг.</w:t>
      </w:r>
    </w:p>
    <w:bookmarkEnd w:id="2"/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4.2. Для проверки предоставленных Исполнителем результатов оказанных услуг, предусмотренных Контрактом, в части их соответствия условиям </w:t>
      </w:r>
      <w:r>
        <w:rPr>
          <w:sz w:val="22"/>
          <w:szCs w:val="22"/>
          <w:lang w:eastAsia="en-US"/>
        </w:rPr>
        <w:t>Контракт</w:t>
      </w:r>
      <w:r>
        <w:rPr>
          <w:bCs/>
          <w:sz w:val="22"/>
          <w:szCs w:val="22"/>
        </w:rPr>
        <w:t>а,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44-ФЗ от 05.04.2013.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4.3. По итогу проведения экспертизы оказанных услуг оформляется заключение о соответствии (несоответствии) оказанных услуг условиям Контракта и соответствующих нормативно-правовых актов. Приемка результатов оформляется документом – акт сдачи-приемки оказанных услуг, подписываемом Сторонами, экспертным заключением.</w:t>
      </w:r>
    </w:p>
    <w:p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Заказчик в течение пяти рабочих дней подписывает акты оказанных услуг и передает один экземпляр акта Исполнителю.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4.4. </w:t>
      </w:r>
      <w:r>
        <w:rPr>
          <w:sz w:val="22"/>
          <w:szCs w:val="22"/>
        </w:rPr>
        <w:t>Услуги считаются принятыми после подписания Заказчиком акта сдачи - приемки оказанных услуг.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4.5. В случае обнаружения при приемке оказанных услуг недостатков Заказчик извещает об этом Исполнителя (с указанием обнаруженных в результате приемки недостатков) и оставляет за собой право не подписывать приемный акт до полного устранения замечаний.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4.6. Вся деятельность, выполняемая Исполнителем по настоящему Контракту, фиксируется в подготовленном Заказчиком журнале регистрации оказанных услуг.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>
      <w:pPr>
        <w:pStyle w:val="15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КАЧЕСТВО УСЛУГ</w:t>
      </w:r>
    </w:p>
    <w:p>
      <w:pPr>
        <w:suppressAutoHyphens/>
        <w:spacing w:after="6"/>
        <w:ind w:firstLine="567"/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5.1. </w:t>
      </w:r>
      <w:r>
        <w:rPr>
          <w:sz w:val="22"/>
          <w:szCs w:val="22"/>
        </w:rPr>
        <w:t>Качество услуг, являющихся предметом контракта, а также используемых материалов (комплектующих и оборудования) должно удовлетворять требования, установленным действующими нормативными документами, в том числе: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-Федеральный закон от 30.03.1999 № 52-ФЗ «О санитарно - эпидемиологическом благополучии населения» (актуализированная редакция),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Федеральный закон от 21.12.1994 N69-ФЗ «О пожарной безопасности» (актуализированная редакция),</w:t>
      </w:r>
    </w:p>
    <w:p>
      <w:pPr>
        <w:pStyle w:val="11"/>
        <w:tabs>
          <w:tab w:val="left" w:pos="0"/>
        </w:tabs>
        <w:ind w:firstLine="567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5.2.  Все оборудование, используемое Исполнителем для оказания услуг, должно быть сертифицировано.</w:t>
      </w:r>
    </w:p>
    <w:p>
      <w:pPr>
        <w:pStyle w:val="11"/>
        <w:tabs>
          <w:tab w:val="left" w:pos="0"/>
        </w:tabs>
        <w:ind w:firstLine="567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5.3. При оказании услуг персонал Исполнителя должен соблюдать правила и нормы охраны труда и техники безопасности,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порядке.</w:t>
      </w:r>
    </w:p>
    <w:p>
      <w:pPr>
        <w:pStyle w:val="11"/>
        <w:tabs>
          <w:tab w:val="left" w:pos="0"/>
        </w:tabs>
        <w:ind w:firstLine="567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5.4. Используемые при оказании услуг оборудование и материалы должны быть новыми, (ранее не находившиеся в использовании у Исполнителя и (или) у третьих лиц), не подвергавшиеся ранее ремонту (модернизации, восстановлению), не должны находиться в залоге, под арестом или под иным обременением.</w:t>
      </w:r>
    </w:p>
    <w:p>
      <w:pPr>
        <w:pStyle w:val="11"/>
        <w:tabs>
          <w:tab w:val="left" w:pos="0"/>
        </w:tabs>
        <w:ind w:firstLine="567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5.5. Датой сдачи оказанных услуг считается дата подписания Сторонами акта сдачи-приёмки оказанных услуг.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</w:p>
    <w:p>
      <w:pPr>
        <w:widowControl w:val="0"/>
        <w:suppressAutoHyphens/>
        <w:autoSpaceDE w:val="0"/>
        <w:jc w:val="center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 xml:space="preserve">6. ОТВЕТСТВЕННОСТЬ СТОРОН </w:t>
      </w:r>
    </w:p>
    <w:p>
      <w:pPr>
        <w:ind w:firstLine="567"/>
        <w:jc w:val="both"/>
        <w:rPr>
          <w:sz w:val="22"/>
          <w:szCs w:val="22"/>
        </w:rPr>
      </w:pPr>
      <w:bookmarkStart w:id="4" w:name="_Hlk59714476"/>
      <w:bookmarkStart w:id="5" w:name="_Hlk59709970"/>
      <w:r>
        <w:rPr>
          <w:sz w:val="22"/>
          <w:szCs w:val="22"/>
        </w:rPr>
        <w:t>6.1.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Размер штрафа, начисляемый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 и размера штрафа, начисляемого за неисполнение или ненадлежащее исполнение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(далее - штраф).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Размер штрафа устанавливается контрактом,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случая, предусмотренного пунктом 6.4 настоящего Контракта):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 а) 10 процентов цены контракта (этапа) в случае, если цена контракта (этапа) не превышает 3 млн. рублей;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 а) 1000 рублей, если цена контракта не превышает 3 млн. рублей;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6.5. В случае просрочки исполнения Исполнителем обязательств, предусмотренных Контрактом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6.6.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а) 1000 рублей, если цена контракта не превышает 3 млн. рублей (включительно);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6.8.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6.9.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6.10. Убытки, причиненные Заказчику в связи с неисполнением или ненадлежащим исполнением Контракта Исполнителем, подлежат возмещению помимо суммы неустойки (пени, штрафа).</w:t>
      </w:r>
    </w:p>
    <w:p>
      <w:pPr>
        <w:ind w:firstLine="567"/>
        <w:jc w:val="both"/>
        <w:rPr>
          <w:b/>
          <w:sz w:val="22"/>
          <w:szCs w:val="22"/>
        </w:rPr>
      </w:pPr>
    </w:p>
    <w:p>
      <w:pPr>
        <w:widowControl w:val="0"/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ГАРАНТИИ КАЧЕСТВА</w:t>
      </w:r>
    </w:p>
    <w:p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 Гарантии качества распространяются на все услуги, оказываемые Исполнителем по Контракту.</w:t>
      </w:r>
    </w:p>
    <w:p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7.2. Исполнитель предоставляет гарантию:</w:t>
      </w:r>
    </w:p>
    <w:p>
      <w:pPr>
        <w:widowControl w:val="0"/>
        <w:numPr>
          <w:ilvl w:val="0"/>
          <w:numId w:val="4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0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 выполненные работы по ТО: не менее 12 (двенадцати) месяцев с момента подписания Сторонами акта выполненных работ/услуг;</w:t>
      </w:r>
    </w:p>
    <w:p>
      <w:pPr>
        <w:widowControl w:val="0"/>
        <w:numPr>
          <w:ilvl w:val="0"/>
          <w:numId w:val="4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0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 установленные в процессе ТО детали и комплектующие части: не менее 12 (двенадцати) месяцев с момента подписания Сторонами акта выполненных работ/услуг, но не менее гарантийного срока, установленного заводом-изготовителем таких деталей и комплектующих частей.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7.3. В случае если в течение гарантийного срока, установленного в Контракте, обнаружится, что услуги оказаны Исполнителем с отступлениями от условий Контракта, ухудшившими результат услуг, или с иными недостатками, которые делают их непригодными для предусмотренного в Контракте использования, Заказчик вправе по своему выбору потребовать от Исполнителя:</w:t>
      </w:r>
    </w:p>
    <w:p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 безвозмездного устранения недостатков услуг в течение 3 (Трех) рабочих дней;</w:t>
      </w:r>
    </w:p>
    <w:p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 возмещения своих расходов на устранение недостатков услуг в течение 3 (Трех) рабочих дней.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7.4. Течение гарантийного срока прерывается на все время, со дня письменного уведомления Исполнителя Заказчиком об обнаружении недостатков до дня устранения их Исполнителем.</w:t>
      </w:r>
    </w:p>
    <w:p>
      <w:pPr>
        <w:ind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7.5. Наличие недостатков в оказанных услугах может устанавливаться Заказчиком и/или иными контролирующими и эксплуатирующими организациями в течение срока оказания услуг Исполнителем, а также в процессе эксплуатации оборудования после окончания оказания услуг.</w:t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 ПОРЯДОК РАССМОТРЕНИЯ СПОРОВ</w:t>
      </w:r>
    </w:p>
    <w:p>
      <w:pPr>
        <w:jc w:val="center"/>
        <w:rPr>
          <w:b/>
          <w:sz w:val="22"/>
          <w:szCs w:val="22"/>
        </w:rPr>
      </w:pP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В случае возникновения любых противоречий, претензий,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8.2. Рассмотрение претензий Сторон осуществляется в порядке, установленном законодательством Российской Федерации. 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 претензию. 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Претензия предъявляется в письменной форме и подлежит регистрации в день ее поступления.  К претензии 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8.5.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 иск в Арбитражный суд города Санкт-Петербурга и Ленинградской области. </w:t>
      </w:r>
    </w:p>
    <w:p>
      <w:pPr>
        <w:ind w:right="87" w:firstLine="540"/>
        <w:jc w:val="both"/>
        <w:rPr>
          <w:sz w:val="22"/>
          <w:szCs w:val="22"/>
        </w:rPr>
      </w:pPr>
    </w:p>
    <w:p>
      <w:pPr>
        <w:widowControl w:val="0"/>
        <w:ind w:firstLine="70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ОБСТОЯТЕЛЬСТВА НЕПРЕОДОЛИМОЙ СИЛЫ</w:t>
      </w:r>
    </w:p>
    <w:p>
      <w:pPr>
        <w:ind w:firstLine="567"/>
        <w:jc w:val="both"/>
      </w:pPr>
      <w:r>
        <w:rPr>
          <w:sz w:val="22"/>
          <w:szCs w:val="22"/>
        </w:rPr>
        <w:t xml:space="preserve">9.1. </w:t>
      </w:r>
      <w:r>
        <w:t>Стороны освобождаются от ответственности за частичное или полное неисполнение обязательств, если такое неисполнение является следствием действия непреодолимой силы и их  последствий: землетрясение, наводнение, пожар, ураган, смерч, сильные снежные заносы, гололед и гололедица,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предотвратит.</w:t>
      </w:r>
    </w:p>
    <w:p>
      <w:pPr>
        <w:ind w:firstLine="567"/>
        <w:jc w:val="both"/>
      </w:pPr>
      <w:r>
        <w:t>9.2. В случае действия обстоятельств непреодолимой силы срок исполнения настоящего контракта сторонами отодвигается соразмерно времени, в течение которого действуют обстоятельства непреодолимой силы и их последствия.</w:t>
      </w:r>
    </w:p>
    <w:p>
      <w:pPr>
        <w:ind w:firstLine="567"/>
        <w:jc w:val="both"/>
      </w:pPr>
      <w:r>
        <w:t>9.3. Сторона, которая не исполняет своего обязательства вследствие действия непреодолимой силы, немедленно уведомит другую сторону в письменном виде о препятствии и его влиянии на исполнении обязательств по контракту.</w:t>
      </w:r>
    </w:p>
    <w:p>
      <w:pPr>
        <w:ind w:firstLine="567"/>
        <w:jc w:val="both"/>
      </w:pPr>
      <w:r>
        <w:t>9.4.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>
      <w:pPr>
        <w:ind w:firstLine="567"/>
        <w:jc w:val="both"/>
      </w:pPr>
      <w:r>
        <w:t>9.5. Если обстоятельства и их последствия будут длится более 1 (одного) месяца, то стороны расторгают Контракт. В этом случае ни одна из сторон не имеет права потребовать от другой стороны возмещения убытков.</w:t>
      </w:r>
    </w:p>
    <w:bookmarkEnd w:id="4"/>
    <w:p>
      <w:pPr>
        <w:ind w:right="88" w:firstLine="567"/>
        <w:jc w:val="both"/>
        <w:rPr>
          <w:b/>
          <w:sz w:val="22"/>
          <w:szCs w:val="22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СРОК ДЕЙСТВИЯ КОНТРАКТА</w:t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10.1. Настоящий Контракт вступает в силу с момента его заключения и действует по 31.12.202</w:t>
      </w:r>
      <w:r>
        <w:rPr>
          <w:rFonts w:hint="default"/>
          <w:sz w:val="22"/>
          <w:szCs w:val="22"/>
          <w:lang w:val="ru-RU"/>
        </w:rPr>
        <w:t>4</w:t>
      </w:r>
      <w:r>
        <w:rPr>
          <w:sz w:val="22"/>
          <w:szCs w:val="22"/>
        </w:rPr>
        <w:t xml:space="preserve"> г. включительно, а в части взаиморасчётов до полного исполнения обязательств.</w:t>
      </w:r>
    </w:p>
    <w:p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10.2. Окончание срока действия настоящего Контракта не освобождает Стороны от выполнения взятых на себя обязательств.</w:t>
      </w:r>
    </w:p>
    <w:bookmarkEnd w:id="5"/>
    <w:p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p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11. АНТИКОРРУПЦИОННАЯ ОГОВОРКА</w:t>
      </w:r>
    </w:p>
    <w:p>
      <w:pPr>
        <w:tabs>
          <w:tab w:val="left" w:pos="0"/>
          <w:tab w:val="right" w:pos="9498"/>
        </w:tabs>
        <w:ind w:firstLine="601"/>
        <w:jc w:val="both"/>
        <w:rPr>
          <w:sz w:val="22"/>
          <w:szCs w:val="22"/>
        </w:rPr>
      </w:pPr>
      <w:r>
        <w:rPr>
          <w:sz w:val="22"/>
          <w:szCs w:val="22"/>
        </w:rPr>
        <w:t>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>
      <w:pPr>
        <w:tabs>
          <w:tab w:val="left" w:pos="0"/>
          <w:tab w:val="right" w:pos="9498"/>
        </w:tabs>
        <w:ind w:firstLine="601"/>
        <w:jc w:val="both"/>
        <w:rPr>
          <w:sz w:val="22"/>
          <w:szCs w:val="22"/>
        </w:rPr>
      </w:pPr>
      <w:r>
        <w:rPr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>
      <w:pPr>
        <w:tabs>
          <w:tab w:val="left" w:pos="0"/>
          <w:tab w:val="right" w:pos="9498"/>
        </w:tabs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>
      <w:pPr>
        <w:tabs>
          <w:tab w:val="left" w:pos="0"/>
          <w:tab w:val="right" w:pos="9498"/>
        </w:tabs>
        <w:ind w:firstLine="600"/>
        <w:jc w:val="both"/>
        <w:rPr>
          <w:b/>
          <w:sz w:val="22"/>
          <w:szCs w:val="22"/>
        </w:rPr>
      </w:pPr>
      <w:r>
        <w:rPr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>
      <w:pPr>
        <w:jc w:val="center"/>
        <w:rPr>
          <w:b/>
        </w:rPr>
      </w:pPr>
      <w:bookmarkStart w:id="6" w:name="_Hlk59779403"/>
      <w:r>
        <w:rPr>
          <w:b/>
          <w:sz w:val="22"/>
          <w:szCs w:val="22"/>
        </w:rPr>
        <w:t xml:space="preserve">12. </w:t>
      </w:r>
      <w:r>
        <w:rPr>
          <w:b/>
        </w:rPr>
        <w:t>ЗАКЛЮЧИТЕЛЬНЫЕ ПОЛОЖЕНИЯ.</w:t>
      </w:r>
    </w:p>
    <w:bookmarkEnd w:id="6"/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2"/>
          <w:szCs w:val="22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bookmarkStart w:id="7" w:name="_Hlk59710026"/>
      <w:r>
        <w:rPr>
          <w:sz w:val="22"/>
          <w:szCs w:val="22"/>
        </w:rPr>
        <w:t>12.1. Во всем, что не предусмотрено Контрактом, Стороны руководствуются законодательством Российской Федерации.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12.2.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12.3.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Внесение    изменений     и    дополнений, не    противоречащих   законодательству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12.4.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Изменение условий Контракта при его исполнении не допускается, за исключением случаев, предусмотренных статьей 95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12.5.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При исполнении Контракта не допускается перемена Исполнителя, за исключением случая, если новый поставщик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12.6.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12.7.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Контракт составлен в двух экземплярах, идентичных по содержанию и имеющих одинаковую юридическую силу, один из которых передан Исполнителю, второй - находится у Заказчика.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12.8. К контракту прилагаются и являются его неотъемлемой частью:</w:t>
      </w:r>
    </w:p>
    <w:bookmarkEnd w:id="7"/>
    <w:p>
      <w:pPr>
        <w:keepNext/>
        <w:rPr>
          <w:sz w:val="22"/>
          <w:szCs w:val="22"/>
        </w:rPr>
      </w:pPr>
      <w:r>
        <w:rPr>
          <w:sz w:val="22"/>
          <w:szCs w:val="22"/>
        </w:rPr>
        <w:t>Приложение №1 – Расчет стоимости контракта.</w:t>
      </w:r>
    </w:p>
    <w:p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Приложение №2 – Перечень услуг по техническому обслуживанию технологического оборудования.  </w:t>
      </w:r>
    </w:p>
    <w:p>
      <w:pPr>
        <w:keepNext/>
        <w:rPr>
          <w:sz w:val="22"/>
          <w:szCs w:val="22"/>
        </w:rPr>
      </w:pPr>
      <w:r>
        <w:rPr>
          <w:sz w:val="22"/>
          <w:szCs w:val="22"/>
        </w:rPr>
        <w:t>Приложение № 3 - Форма «Акт первичного осмотра оборудования».</w:t>
      </w:r>
    </w:p>
    <w:p>
      <w:pPr>
        <w:widowControl w:val="0"/>
        <w:rPr>
          <w:sz w:val="22"/>
          <w:szCs w:val="22"/>
        </w:rPr>
      </w:pPr>
      <w:r>
        <w:rPr>
          <w:sz w:val="22"/>
          <w:szCs w:val="22"/>
        </w:rPr>
        <w:t>Приложение № 4 – Форма «Акт технического состояния технологического оборудования».</w:t>
      </w:r>
    </w:p>
    <w:p>
      <w:pPr>
        <w:ind w:firstLine="567"/>
        <w:jc w:val="both"/>
        <w:rPr>
          <w:sz w:val="22"/>
          <w:szCs w:val="22"/>
        </w:rPr>
      </w:pPr>
    </w:p>
    <w:p>
      <w:pPr>
        <w:widowControl w:val="0"/>
        <w:suppressAutoHyphens/>
        <w:autoSpaceDE w:val="0"/>
        <w:jc w:val="center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13. АДРЕСА И ПОДПИСИ СТОРОН</w:t>
      </w:r>
    </w:p>
    <w:tbl>
      <w:tblPr>
        <w:tblStyle w:val="3"/>
        <w:tblW w:w="984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8"/>
        <w:gridCol w:w="46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0" w:hRule="atLeast"/>
          <w:jc w:val="center"/>
        </w:trPr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Заказчик: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спортивная школа Центрального района Санкт-Петербурга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Адрес: 191144, г. Санкт-Петербург, Кирилловская улица, дом 7-9, литер А 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Банковские реквизиты: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ИНН 7825431233КПП: 784201001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лицевой счет 0671151 в Комитете финансов Санкт-Петербурга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БИК 014030106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Расчетный счет 03224643400000007200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Корреспондентский счет 40102810945370000005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Адрес электронной почты: </w:t>
            </w:r>
            <w:r>
              <w:rPr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Cs/>
                <w:color w:val="000000"/>
                <w:sz w:val="22"/>
                <w:szCs w:val="22"/>
              </w:rPr>
              <w:instrText xml:space="preserve">HYPERLINK "mailto:centrdusch@mail.ru"</w:instrText>
            </w:r>
            <w:r>
              <w:rPr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Cs/>
                <w:color w:val="000000"/>
                <w:sz w:val="22"/>
                <w:szCs w:val="22"/>
              </w:rPr>
              <w:t>centrdusch@mail.ru</w:t>
            </w:r>
            <w:r>
              <w:rPr>
                <w:bCs/>
                <w:color w:val="000000"/>
                <w:sz w:val="22"/>
                <w:szCs w:val="22"/>
              </w:rPr>
              <w:fldChar w:fldCharType="end"/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Телефон: (812) 274-00-90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</w:p>
          <w:p>
            <w:pPr>
              <w:rPr>
                <w:bCs/>
                <w:color w:val="000000"/>
                <w:sz w:val="22"/>
                <w:szCs w:val="22"/>
              </w:rPr>
            </w:pPr>
          </w:p>
          <w:p>
            <w:pPr>
              <w:rPr>
                <w:bCs/>
                <w:color w:val="000000"/>
                <w:sz w:val="22"/>
                <w:szCs w:val="22"/>
              </w:rPr>
            </w:pP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Директор</w:t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</w:p>
          <w:p>
            <w:pPr>
              <w:rPr>
                <w:bCs/>
                <w:color w:val="000000"/>
                <w:sz w:val="22"/>
                <w:szCs w:val="22"/>
              </w:rPr>
            </w:pP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___________________ /М.Ю. Баранов/</w:t>
            </w:r>
          </w:p>
          <w:p>
            <w:pPr>
              <w:ind w:right="425"/>
              <w:rPr>
                <w:bCs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Исполнитель:</w:t>
            </w: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ind w:hanging="2"/>
              <w:contextualSpacing/>
            </w:pPr>
          </w:p>
          <w:p>
            <w:pPr>
              <w:rPr>
                <w:bCs/>
                <w:color w:val="000000"/>
              </w:rPr>
            </w:pPr>
          </w:p>
          <w:p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_____________ / </w:t>
            </w:r>
            <w:r>
              <w:rPr>
                <w:rFonts w:hint="default"/>
                <w:bCs/>
                <w:color w:val="000000"/>
                <w:sz w:val="22"/>
                <w:szCs w:val="22"/>
                <w:lang w:val="ru-RU"/>
              </w:rPr>
              <w:t xml:space="preserve">                         </w:t>
            </w:r>
            <w:r>
              <w:rPr>
                <w:bCs/>
                <w:color w:val="000000"/>
                <w:sz w:val="22"/>
                <w:szCs w:val="22"/>
              </w:rPr>
              <w:t>/</w:t>
            </w:r>
          </w:p>
          <w:p>
            <w:pPr>
              <w:rPr>
                <w:bCs/>
                <w:iCs/>
              </w:rPr>
            </w:pPr>
          </w:p>
        </w:tc>
      </w:tr>
    </w:tbl>
    <w:p>
      <w:pPr>
        <w:jc w:val="right"/>
        <w:rPr>
          <w:sz w:val="22"/>
          <w:szCs w:val="22"/>
          <w:lang w:eastAsia="ar-SA"/>
        </w:rPr>
      </w:pPr>
    </w:p>
    <w:p>
      <w:pPr>
        <w:jc w:val="right"/>
        <w:rPr>
          <w:sz w:val="22"/>
          <w:szCs w:val="22"/>
          <w:lang w:eastAsia="ar-SA"/>
        </w:rPr>
        <w:sectPr>
          <w:pgSz w:w="11906" w:h="16838"/>
          <w:pgMar w:top="709" w:right="849" w:bottom="1134" w:left="1134" w:header="397" w:footer="397" w:gutter="0"/>
          <w:cols w:space="720" w:num="1"/>
          <w:docGrid w:linePitch="326" w:charSpace="0"/>
        </w:sectPr>
      </w:pPr>
    </w:p>
    <w:p>
      <w:pPr>
        <w:jc w:val="right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Приложение №1 к Контракту №</w:t>
      </w:r>
      <w:r>
        <w:rPr>
          <w:iCs/>
          <w:sz w:val="22"/>
          <w:szCs w:val="22"/>
        </w:rPr>
        <w:t xml:space="preserve"> </w:t>
      </w:r>
      <w:r>
        <w:rPr>
          <w:b/>
          <w:iCs/>
          <w:sz w:val="22"/>
          <w:szCs w:val="22"/>
        </w:rPr>
        <w:t>ТО/ТТО/2</w:t>
      </w:r>
      <w:r>
        <w:rPr>
          <w:rFonts w:hint="default"/>
          <w:b/>
          <w:iCs/>
          <w:sz w:val="22"/>
          <w:szCs w:val="22"/>
          <w:lang w:val="ru-RU"/>
        </w:rPr>
        <w:t>4</w:t>
      </w:r>
      <w:r>
        <w:rPr>
          <w:sz w:val="22"/>
          <w:szCs w:val="22"/>
          <w:lang w:eastAsia="ar-SA"/>
        </w:rPr>
        <w:t xml:space="preserve"> </w:t>
      </w:r>
    </w:p>
    <w:p>
      <w:pPr>
        <w:jc w:val="right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от «__» ________ 20__ года</w:t>
      </w:r>
    </w:p>
    <w:p>
      <w:pPr>
        <w:jc w:val="right"/>
        <w:rPr>
          <w:sz w:val="22"/>
          <w:szCs w:val="22"/>
          <w:lang w:eastAsia="ar-SA"/>
        </w:rPr>
      </w:pPr>
    </w:p>
    <w:p>
      <w:pPr>
        <w:jc w:val="right"/>
        <w:rPr>
          <w:sz w:val="22"/>
          <w:szCs w:val="22"/>
          <w:lang w:eastAsia="ar-S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Расчет стоимости контракта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  <w:sz w:val="22"/>
          <w:szCs w:val="22"/>
          <w:lang w:eastAsia="ar-SA"/>
        </w:rPr>
      </w:pPr>
    </w:p>
    <w:tbl>
      <w:tblPr>
        <w:tblStyle w:val="3"/>
        <w:tblW w:w="156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6"/>
        <w:gridCol w:w="1560"/>
        <w:gridCol w:w="3817"/>
        <w:gridCol w:w="709"/>
        <w:gridCol w:w="1695"/>
        <w:gridCol w:w="2410"/>
        <w:gridCol w:w="1984"/>
        <w:gridCol w:w="1701"/>
        <w:gridCol w:w="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715" w:hRule="atLeast"/>
          <w:jc w:val="center"/>
        </w:trPr>
        <w:tc>
          <w:tcPr>
            <w:tcW w:w="1706" w:type="dxa"/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учреждения</w:t>
            </w: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Адрес учреждения</w:t>
            </w:r>
          </w:p>
        </w:tc>
        <w:tc>
          <w:tcPr>
            <w:tcW w:w="3817" w:type="dxa"/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695" w:type="dxa"/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 месяцев обслуживания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Стоимость обслуживания единицы оборудования в месяц, руб.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стоимость обслуживания в месяц, руб.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стоимость обслуживания, руб.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706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Государственное бюджетное учреждение спортивная школа Центрального района Санкт-Петербурга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Ленинградская область, Всеволожский район, Приозерское шоссе, 36-й км</w:t>
            </w:r>
          </w:p>
        </w:tc>
        <w:tc>
          <w:tcPr>
            <w:tcW w:w="10615" w:type="dxa"/>
            <w:gridSpan w:val="5"/>
            <w:shd w:val="clear" w:color="auto" w:fill="99FFCC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1: ПЕРЕЧЕНЬ ТЕХНОЛОГИЧЕСКОГО ОБОРУДОВАНИЯ</w:t>
            </w:r>
          </w:p>
        </w:tc>
        <w:tc>
          <w:tcPr>
            <w:tcW w:w="1732" w:type="dxa"/>
            <w:gridSpan w:val="2"/>
            <w:shd w:val="clear" w:color="auto" w:fill="99FFCC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жарочный 2ШЖЭ-1,36Е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  <w:bookmarkStart w:id="8" w:name="_GoBack" w:colFirst="4" w:colLast="4"/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Ларь морозильный МЛГ-350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ind w:left="27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Процессор кухонный R211 XL Ultra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7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Стиральная машина LG WD-10467BD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3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Стиральная машина бытовая INDESIT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1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Тестомесильная машина МТМ-60М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Машина овощерезательня МПР-350М 00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3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Картофелечистка МОК-150М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Плита электрическая ПЭ67Ж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39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Холодильник бытовой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6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Слайсер BECKERS ES 250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Мармит ПМЭС-70КМ-01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1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Мармит вторых блюд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3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ШН-0,7 (СВ107-S)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3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ШХ-1,4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Сковорода электрическая Сэч-0,54Н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Водонагреватель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ind w:left="3" w:leftChars="0" w:right="27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  <w:highlight w:val="red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5"/>
                <w:sz w:val="22"/>
                <w:szCs w:val="22"/>
              </w:rPr>
              <w:t>17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1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Камера холодильная (шкаф холодильный)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Посудомоечная машина МПУ-700-01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3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Пароконвектомат ПКА 6-1/3П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4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Прилавок нейтральный ПН-07-А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3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Мясорубка М-250 (УКМ-12)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3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817" w:type="dxa"/>
            <w:shd w:val="clear" w:color="auto" w:fill="auto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Хлеборезательная машина АХМ-300</w:t>
            </w:r>
          </w:p>
        </w:tc>
        <w:tc>
          <w:tcPr>
            <w:tcW w:w="709" w:type="dxa"/>
            <w:shd w:val="clear" w:color="auto" w:fill="auto"/>
            <w:vAlign w:val="top"/>
          </w:tcPr>
          <w:p>
            <w:pPr>
              <w:pStyle w:val="18"/>
              <w:spacing w:line="246" w:lineRule="exact"/>
              <w:ind w:left="21" w:leftChars="0" w:right="24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1695" w:type="dxa"/>
            <w:shd w:val="clear" w:color="auto" w:fill="auto"/>
            <w:vAlign w:val="top"/>
          </w:tcPr>
          <w:p>
            <w:pPr>
              <w:spacing w:line="236" w:lineRule="exact"/>
              <w:ind w:left="4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10"/>
                <w:sz w:val="22"/>
                <w:szCs w:val="22"/>
                <w:lang w:val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bookmarkEnd w:id="8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8631" w:type="dxa"/>
            <w:gridSpan w:val="4"/>
            <w:shd w:val="clear" w:color="auto" w:fill="auto"/>
            <w:vAlign w:val="center"/>
          </w:tcPr>
          <w:p>
            <w:pPr>
              <w:jc w:val="right"/>
              <w:rPr>
                <w:color w:val="000000"/>
                <w:sz w:val="20"/>
                <w:szCs w:val="20"/>
                <w:highlight w:val="red"/>
              </w:rPr>
            </w:pPr>
            <w:r>
              <w:rPr>
                <w:b/>
                <w:sz w:val="20"/>
                <w:szCs w:val="20"/>
              </w:rPr>
              <w:t>ИТОГО ПО РАЗДЕЛУ 1: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jc w:val="right"/>
              <w:rPr>
                <w:b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732" w:type="dxa"/>
            <w:gridSpan w:val="2"/>
          </w:tcPr>
          <w:p>
            <w:pPr>
              <w:jc w:val="right"/>
              <w:rPr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347" w:type="dxa"/>
            <w:gridSpan w:val="7"/>
            <w:shd w:val="clear" w:color="auto" w:fill="99FFCC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2: ПЕРЕЧЕНЬ ВЕСОВОГО ОБОРУДОВАНИЯ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110" w:hRule="atLeast"/>
          <w:jc w:val="center"/>
        </w:trPr>
        <w:tc>
          <w:tcPr>
            <w:tcW w:w="1706" w:type="dxa"/>
            <w:vMerge w:val="continue"/>
            <w:shd w:val="clear" w:color="auto" w:fill="auto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shd w:val="clear" w:color="auto" w:fill="auto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817" w:type="dxa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contextualSpacing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Весы бытовые, товарные </w:t>
            </w:r>
            <w:r>
              <w:rPr>
                <w:sz w:val="20"/>
                <w:szCs w:val="20"/>
                <w:lang w:val="en-US"/>
              </w:rPr>
              <w:t>BT 4014-500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1" w:type="dxa"/>
          <w:trHeight w:val="216" w:hRule="atLeast"/>
          <w:jc w:val="center"/>
        </w:trPr>
        <w:tc>
          <w:tcPr>
            <w:tcW w:w="1706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817" w:type="dxa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contextualSpacing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Весы электронные </w:t>
            </w:r>
            <w:r>
              <w:rPr>
                <w:sz w:val="20"/>
                <w:szCs w:val="20"/>
                <w:lang w:val="en-US"/>
              </w:rPr>
              <w:t>CAS AD-10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706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56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8631" w:type="dxa"/>
            <w:gridSpan w:val="4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contextualSpacing/>
              <w:jc w:val="righ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ПО РАЗДЕЛУ 2: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3881" w:type="dxa"/>
            <w:gridSpan w:val="7"/>
            <w:shd w:val="clear" w:color="auto" w:fill="99FFCC"/>
            <w:vAlign w:val="bottom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РАЗДЕЛАМ:</w:t>
            </w:r>
          </w:p>
        </w:tc>
        <w:tc>
          <w:tcPr>
            <w:tcW w:w="1732" w:type="dxa"/>
            <w:gridSpan w:val="2"/>
            <w:shd w:val="clear" w:color="auto" w:fill="99FFCC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>
      <w:pPr>
        <w:keepNext/>
        <w:jc w:val="center"/>
        <w:rPr>
          <w:sz w:val="16"/>
          <w:szCs w:val="22"/>
        </w:rPr>
      </w:pPr>
    </w:p>
    <w:p>
      <w:pPr>
        <w:keepNext/>
        <w:jc w:val="center"/>
        <w:rPr>
          <w:sz w:val="16"/>
          <w:szCs w:val="22"/>
        </w:rPr>
      </w:pPr>
    </w:p>
    <w:p>
      <w:pPr>
        <w:keepNext/>
        <w:jc w:val="center"/>
        <w:rPr>
          <w:sz w:val="16"/>
          <w:szCs w:val="22"/>
        </w:rPr>
      </w:pPr>
    </w:p>
    <w:p>
      <w:pPr>
        <w:keepNext/>
        <w:jc w:val="center"/>
        <w:rPr>
          <w:sz w:val="16"/>
          <w:szCs w:val="22"/>
        </w:rPr>
      </w:pPr>
    </w:p>
    <w:p>
      <w:pPr>
        <w:keepNext/>
        <w:jc w:val="center"/>
        <w:rPr>
          <w:sz w:val="16"/>
          <w:szCs w:val="22"/>
        </w:rPr>
      </w:pPr>
    </w:p>
    <w:p>
      <w:pPr>
        <w:keepNext/>
        <w:jc w:val="center"/>
        <w:rPr>
          <w:sz w:val="16"/>
          <w:szCs w:val="22"/>
        </w:rPr>
      </w:pPr>
    </w:p>
    <w:p>
      <w:pPr>
        <w:keepNext/>
        <w:jc w:val="center"/>
        <w:rPr>
          <w:sz w:val="16"/>
          <w:szCs w:val="22"/>
        </w:rPr>
      </w:pPr>
    </w:p>
    <w:tbl>
      <w:tblPr>
        <w:tblStyle w:val="3"/>
        <w:tblW w:w="984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8"/>
        <w:gridCol w:w="46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contextualSpacing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>
            <w:pPr>
              <w:contextualSpacing/>
              <w:rPr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Директор</w:t>
            </w:r>
          </w:p>
          <w:p>
            <w:pPr>
              <w:contextualSpacing/>
              <w:rPr>
                <w:b/>
                <w:bCs/>
              </w:rPr>
            </w:pPr>
          </w:p>
          <w:p>
            <w:pPr>
              <w:contextualSpacing/>
              <w:rPr>
                <w:bCs/>
                <w:color w:val="000000"/>
                <w:highlight w:val="red"/>
              </w:rPr>
            </w:pPr>
            <w:r>
              <w:rPr>
                <w:bCs/>
                <w:color w:val="000000"/>
                <w:sz w:val="22"/>
                <w:szCs w:val="22"/>
              </w:rPr>
              <w:t>_____________ /Баранов М.Ю./</w:t>
            </w:r>
          </w:p>
          <w:p>
            <w:pPr>
              <w:ind w:right="425"/>
              <w:contextualSpacing/>
              <w:rPr>
                <w:bCs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contextualSpacing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Исполнитель:</w:t>
            </w:r>
          </w:p>
          <w:p>
            <w:pPr>
              <w:contextualSpacing/>
              <w:rPr>
                <w:bCs/>
                <w:color w:val="000000"/>
                <w:sz w:val="22"/>
              </w:rPr>
            </w:pPr>
          </w:p>
          <w:p>
            <w:pPr>
              <w:contextualSpacing/>
              <w:rPr>
                <w:bCs/>
                <w:color w:val="000000"/>
                <w:sz w:val="22"/>
              </w:rPr>
            </w:pPr>
          </w:p>
          <w:p>
            <w:pPr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_____________ /</w:t>
            </w:r>
            <w:r>
              <w:rPr>
                <w:rFonts w:hint="default"/>
                <w:bCs/>
                <w:color w:val="000000"/>
                <w:sz w:val="22"/>
                <w:szCs w:val="22"/>
                <w:lang w:val="ru-RU"/>
              </w:rPr>
              <w:t xml:space="preserve">                        </w:t>
            </w:r>
            <w:r>
              <w:rPr>
                <w:bCs/>
                <w:color w:val="000000"/>
                <w:sz w:val="22"/>
                <w:szCs w:val="22"/>
              </w:rPr>
              <w:t>/</w:t>
            </w:r>
          </w:p>
          <w:p>
            <w:pPr>
              <w:contextualSpacing/>
              <w:rPr>
                <w:bCs/>
                <w:color w:val="000000"/>
              </w:rPr>
            </w:pPr>
          </w:p>
        </w:tc>
      </w:tr>
    </w:tbl>
    <w:p>
      <w:pPr>
        <w:keepNext/>
        <w:rPr>
          <w:sz w:val="22"/>
          <w:szCs w:val="22"/>
        </w:rPr>
        <w:sectPr>
          <w:pgSz w:w="16838" w:h="11906" w:orient="landscape"/>
          <w:pgMar w:top="1134" w:right="1134" w:bottom="851" w:left="1134" w:header="397" w:footer="397" w:gutter="0"/>
          <w:cols w:space="720" w:num="1"/>
          <w:docGrid w:linePitch="326" w:charSpace="0"/>
        </w:sectPr>
      </w:pPr>
    </w:p>
    <w:p>
      <w:pPr>
        <w:ind w:left="5529"/>
        <w:jc w:val="right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Приложение № 2 к Контракту</w:t>
      </w:r>
    </w:p>
    <w:p>
      <w:pPr>
        <w:ind w:left="5529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№</w:t>
      </w:r>
      <w:r>
        <w:rPr>
          <w:iCs/>
          <w:sz w:val="22"/>
          <w:szCs w:val="22"/>
        </w:rPr>
        <w:t xml:space="preserve"> </w:t>
      </w:r>
      <w:r>
        <w:rPr>
          <w:b/>
          <w:iCs/>
          <w:sz w:val="22"/>
          <w:szCs w:val="22"/>
        </w:rPr>
        <w:t>ТО/ТТО/2</w:t>
      </w:r>
      <w:r>
        <w:rPr>
          <w:rFonts w:hint="default"/>
          <w:b/>
          <w:iCs/>
          <w:sz w:val="22"/>
          <w:szCs w:val="22"/>
          <w:lang w:val="ru-RU"/>
        </w:rPr>
        <w:t>4</w:t>
      </w:r>
      <w:r>
        <w:rPr>
          <w:sz w:val="22"/>
          <w:szCs w:val="22"/>
          <w:lang w:eastAsia="ar-SA"/>
        </w:rPr>
        <w:t xml:space="preserve"> от «__» _________ 202</w:t>
      </w:r>
      <w:r>
        <w:rPr>
          <w:rFonts w:hint="default"/>
          <w:sz w:val="22"/>
          <w:szCs w:val="22"/>
          <w:lang w:val="ru-RU" w:eastAsia="ar-SA"/>
        </w:rPr>
        <w:t>4</w:t>
      </w:r>
      <w:r>
        <w:rPr>
          <w:sz w:val="22"/>
          <w:szCs w:val="22"/>
          <w:lang w:eastAsia="ar-SA"/>
        </w:rPr>
        <w:t xml:space="preserve"> года</w:t>
      </w:r>
    </w:p>
    <w:p>
      <w:pPr>
        <w:jc w:val="right"/>
        <w:rPr>
          <w:sz w:val="22"/>
          <w:szCs w:val="22"/>
          <w:lang w:eastAsia="ar-S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Перечень услуг по техническому обслуживанию технологического оборудования</w:t>
      </w:r>
    </w:p>
    <w:p>
      <w:pPr>
        <w:jc w:val="right"/>
        <w:rPr>
          <w:b/>
          <w:bCs/>
          <w:sz w:val="22"/>
          <w:szCs w:val="22"/>
        </w:rPr>
      </w:pPr>
    </w:p>
    <w:p>
      <w:pPr>
        <w:widowControl w:val="0"/>
        <w:tabs>
          <w:tab w:val="left" w:pos="900"/>
        </w:tabs>
        <w:autoSpaceDE w:val="0"/>
        <w:autoSpaceDN w:val="0"/>
        <w:adjustRightInd w:val="0"/>
        <w:jc w:val="center"/>
        <w:rPr>
          <w:sz w:val="22"/>
          <w:szCs w:val="22"/>
          <w:lang w:eastAsia="ar-SA"/>
        </w:rPr>
      </w:pPr>
    </w:p>
    <w:p>
      <w:pPr>
        <w:pStyle w:val="6"/>
        <w:widowControl w:val="0"/>
        <w:ind w:firstLine="2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Услуги по техническому обслуживанию технологического оборудования - </w:t>
      </w:r>
      <w:r>
        <w:rPr>
          <w:sz w:val="22"/>
          <w:szCs w:val="22"/>
        </w:rPr>
        <w:t>комплекс операций по поддержанию работоспособности или исправности оборудования при использовании по назначению, ожидании, хранении и транспортировании (ГОСТ 18322-78); выполняется с 8-00 часов до 17-00 часов, кроме выходных и праздничных дней, на основании заявки Заказчика, не реже 1 раза в месяц.</w:t>
      </w:r>
    </w:p>
    <w:p>
      <w:pPr>
        <w:pStyle w:val="6"/>
        <w:widowControl w:val="0"/>
        <w:ind w:firstLine="284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Услуги по техническому обслуживанию технологического оборудования - </w:t>
      </w:r>
      <w:r>
        <w:rPr>
          <w:sz w:val="22"/>
          <w:szCs w:val="22"/>
        </w:rPr>
        <w:t>комплекс операций по поддержанию работоспособности или исправности оборудования при использовании по назначению, ожидании, хранении и транспортировании (ГОСТ 18322-78); выполняется с 8-00 часов до 17-00 часов, кроме выходных и праздничных дней, на основании заявки Заказчика, не реже 1 раза в месяц.</w:t>
      </w:r>
    </w:p>
    <w:p>
      <w:pPr>
        <w:widowControl w:val="0"/>
        <w:ind w:firstLine="284"/>
        <w:jc w:val="both"/>
        <w:rPr>
          <w:b/>
          <w:bCs/>
        </w:rPr>
      </w:pPr>
      <w:r>
        <w:rPr>
          <w:b/>
          <w:bCs/>
        </w:rPr>
        <w:t>Услуги по техническому обслуживанию оборудования включают в себя:</w:t>
      </w:r>
    </w:p>
    <w:p>
      <w:pPr>
        <w:widowControl w:val="0"/>
        <w:ind w:firstLine="284"/>
        <w:jc w:val="both"/>
      </w:pPr>
      <w:r>
        <w:t xml:space="preserve"> </w:t>
      </w:r>
      <w:r>
        <w:rPr>
          <w:iCs/>
        </w:rPr>
        <w:t xml:space="preserve">  - </w:t>
      </w:r>
      <w:r>
        <w:t>профилактическое обслуживание оборудования, согласно перечня обязательных операций, а именно:</w:t>
      </w:r>
    </w:p>
    <w:p>
      <w:pPr>
        <w:widowControl w:val="0"/>
        <w:ind w:firstLine="284"/>
        <w:jc w:val="both"/>
        <w:rPr>
          <w:bCs/>
          <w:u w:val="single"/>
        </w:rPr>
      </w:pPr>
      <w:r>
        <w:rPr>
          <w:bCs/>
          <w:u w:val="single"/>
        </w:rPr>
        <w:t>3.1. Обязательные операции, выполняемые при оказании услуг по техническому обслуживанию всех типов электротеплового оборудования (электрокотел, электрокипятильник, электроплита, электросковорода, шкаф пекарский и прочее аналогичное оборудование), включенные в расчет стоимости:</w:t>
      </w:r>
    </w:p>
    <w:p>
      <w:pPr>
        <w:widowControl w:val="0"/>
        <w:ind w:firstLine="284"/>
        <w:jc w:val="both"/>
      </w:pPr>
      <w:r>
        <w:t>1. Внешний осмотр аппарата, находящегося на объекте.</w:t>
      </w:r>
    </w:p>
    <w:p>
      <w:pPr>
        <w:widowControl w:val="0"/>
        <w:ind w:firstLine="284"/>
        <w:jc w:val="both"/>
      </w:pPr>
      <w:r>
        <w:t>2. Проверка комплектности аппарата, находящегося на объекте.</w:t>
      </w:r>
    </w:p>
    <w:p>
      <w:pPr>
        <w:widowControl w:val="0"/>
        <w:ind w:firstLine="284"/>
        <w:jc w:val="both"/>
      </w:pPr>
      <w:r>
        <w:t>3. Проверка плотности и целостности защитного заземления.</w:t>
      </w:r>
    </w:p>
    <w:p>
      <w:pPr>
        <w:widowControl w:val="0"/>
        <w:ind w:firstLine="284"/>
        <w:jc w:val="both"/>
      </w:pPr>
      <w:r>
        <w:t>4. Проверка исправности и плотности электро-контактных соединений.</w:t>
      </w:r>
    </w:p>
    <w:p>
      <w:pPr>
        <w:widowControl w:val="0"/>
        <w:ind w:firstLine="284"/>
        <w:jc w:val="both"/>
      </w:pPr>
      <w:r>
        <w:t>5. Проверка исправности крышек, ручек, облицовок.</w:t>
      </w:r>
    </w:p>
    <w:p>
      <w:pPr>
        <w:widowControl w:val="0"/>
        <w:ind w:firstLine="284"/>
        <w:jc w:val="both"/>
      </w:pPr>
      <w:r>
        <w:t>6. Проверка работы аппарата в рабочем режиме.</w:t>
      </w:r>
    </w:p>
    <w:p>
      <w:pPr>
        <w:widowControl w:val="0"/>
        <w:ind w:firstLine="284"/>
        <w:jc w:val="both"/>
      </w:pPr>
      <w:r>
        <w:t>7. Регулировка элементов воздействия на контактную группу приборов включения, защиты, управления.</w:t>
      </w:r>
    </w:p>
    <w:p>
      <w:pPr>
        <w:widowControl w:val="0"/>
        <w:ind w:firstLine="284"/>
        <w:jc w:val="both"/>
      </w:pPr>
      <w:r>
        <w:t>8. Регулировка температурных режимов.</w:t>
      </w:r>
    </w:p>
    <w:p>
      <w:pPr>
        <w:widowControl w:val="0"/>
        <w:ind w:firstLine="284"/>
        <w:jc w:val="both"/>
        <w:rPr>
          <w:bCs/>
          <w:u w:val="single"/>
        </w:rPr>
      </w:pPr>
      <w:r>
        <w:t>3.2</w:t>
      </w:r>
      <w:r>
        <w:rPr>
          <w:bCs/>
          <w:u w:val="single"/>
        </w:rPr>
        <w:t>. Обязательные операции, выполняемые при оказании услуг по техническому обслуживанию всех типов электромеханического оборудования (электромясорубка, машина универсальная с приводом, машина картофелеочистительная, машина протирочная, машина овощерезательная и прочее аналогичное оборудование), включенные в расчет стоимости: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Внешний осмотр машины, находящейся на объекте.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комплектности оборудования, находящегося на объекте.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плотности и целостности защитного заземления.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целостности и исправности электропроводки.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исправности и плотности электро-контактных соединений.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состояния и уровня смазки в редукторах.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состояния и наличия смазки в подшипниках.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работы машин, находящихся на объекте, на "холостом" ходу.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исправности ограждений, ручек, предохранительных устройств, электро-блокировок.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сальниковых уплотнений.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надежности крепления машины, находящейся на объекте, к столу, полу, фундаменту.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надежности крепления съемных узлов и механизмов.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Затяжка крепежных деталей.</w:t>
      </w:r>
    </w:p>
    <w:p>
      <w:pPr>
        <w:widowControl w:val="0"/>
        <w:numPr>
          <w:ilvl w:val="0"/>
          <w:numId w:val="5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работы машины, находящейся на объекте, в рабочем режиме.</w:t>
      </w:r>
    </w:p>
    <w:p>
      <w:pPr>
        <w:widowControl w:val="0"/>
        <w:ind w:firstLine="284"/>
        <w:jc w:val="both"/>
        <w:rPr>
          <w:bCs/>
          <w:u w:val="single"/>
        </w:rPr>
      </w:pPr>
      <w:r>
        <w:rPr>
          <w:bCs/>
          <w:u w:val="single"/>
        </w:rPr>
        <w:t>3.3. Обязательные операции, выполняемые при оказании услуг по техническому обслуживанию холодильного оборудования (холодильники промышленные, холодильные камеры, холодильники бытовые и прочее аналогичное оборудование), включенные в расчет стоимости:</w:t>
      </w:r>
    </w:p>
    <w:p>
      <w:pPr>
        <w:widowControl w:val="0"/>
        <w:numPr>
          <w:ilvl w:val="0"/>
          <w:numId w:val="6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оборудования, включая внутренние поверхности охлаждаемого объема, внешним осмотром на соответствие правилам техники безопасности.</w:t>
      </w:r>
    </w:p>
    <w:p>
      <w:pPr>
        <w:widowControl w:val="0"/>
        <w:numPr>
          <w:ilvl w:val="0"/>
          <w:numId w:val="6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соответствия температуры в охлажденном объеме паспортным данным.</w:t>
      </w:r>
    </w:p>
    <w:p>
      <w:pPr>
        <w:widowControl w:val="0"/>
        <w:numPr>
          <w:ilvl w:val="0"/>
          <w:numId w:val="6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комплектности холодильного оборудования и наличия ограждения холодильного агрегата (местного) и машинного отделения.</w:t>
      </w:r>
    </w:p>
    <w:p>
      <w:pPr>
        <w:widowControl w:val="0"/>
        <w:numPr>
          <w:ilvl w:val="0"/>
          <w:numId w:val="6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состояния и исправности (работоспособности): электроаппаратуры, электроосвещения, приборов автоматики, дверных ручек и петель, резиновых уплотнений, замков, поддонов, сливных устройств, манометров, термометров.</w:t>
      </w:r>
    </w:p>
    <w:p>
      <w:pPr>
        <w:widowControl w:val="0"/>
        <w:numPr>
          <w:ilvl w:val="0"/>
          <w:numId w:val="6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правильности работы вентиляционного узла (направления вращения и отсутствие задевания крыльчатки за диффузор или конденсатор).</w:t>
      </w:r>
    </w:p>
    <w:p>
      <w:pPr>
        <w:widowControl w:val="0"/>
        <w:numPr>
          <w:ilvl w:val="0"/>
          <w:numId w:val="6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герметичности холодильной машины, в т.ч. сальниковых уплотнений вентиля.</w:t>
      </w:r>
    </w:p>
    <w:p>
      <w:pPr>
        <w:widowControl w:val="0"/>
        <w:numPr>
          <w:ilvl w:val="0"/>
          <w:numId w:val="6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работы компрессора и электродвигателей (включая обдувочные) по шуму и нагреву.</w:t>
      </w:r>
    </w:p>
    <w:p>
      <w:pPr>
        <w:widowControl w:val="0"/>
        <w:numPr>
          <w:ilvl w:val="0"/>
          <w:numId w:val="6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уровня масла в картере компрессора и натяжения ремней. Проверка слива масла из маслоотделителя в картер компрессора.</w:t>
      </w:r>
    </w:p>
    <w:p>
      <w:pPr>
        <w:widowControl w:val="0"/>
        <w:numPr>
          <w:ilvl w:val="0"/>
          <w:numId w:val="6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автоматического режима работы холодильной машины, включая проверку работы автоматической и полуавтоматической систем оттайки и удаления талой воды.</w:t>
      </w:r>
    </w:p>
    <w:p>
      <w:pPr>
        <w:widowControl w:val="0"/>
        <w:ind w:firstLine="284"/>
        <w:jc w:val="both"/>
        <w:rPr>
          <w:bCs/>
          <w:u w:val="single"/>
        </w:rPr>
      </w:pPr>
      <w:r>
        <w:rPr>
          <w:bCs/>
          <w:u w:val="single"/>
        </w:rPr>
        <w:t>3.4. Обязательные операции, выполняемые при оказании услуг по техническому обслуживанию прачечного оборудования (стиральные машины, центрифуги, сушильные барабаны, гладильные катки и прочее аналогичное оборудование), включенные в расчет стоимости:</w:t>
      </w:r>
    </w:p>
    <w:p>
      <w:pPr>
        <w:widowControl w:val="0"/>
        <w:numPr>
          <w:ilvl w:val="0"/>
          <w:numId w:val="7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Внешний осмотр машины.</w:t>
      </w:r>
    </w:p>
    <w:p>
      <w:pPr>
        <w:widowControl w:val="0"/>
        <w:numPr>
          <w:ilvl w:val="0"/>
          <w:numId w:val="7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 xml:space="preserve">Проверка электросхемы </w:t>
      </w:r>
    </w:p>
    <w:p>
      <w:pPr>
        <w:widowControl w:val="0"/>
        <w:numPr>
          <w:ilvl w:val="0"/>
          <w:numId w:val="7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сливного клапана</w:t>
      </w:r>
    </w:p>
    <w:p>
      <w:pPr>
        <w:widowControl w:val="0"/>
        <w:numPr>
          <w:ilvl w:val="0"/>
          <w:numId w:val="7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 xml:space="preserve">Проверка работы электромагнитного клапана </w:t>
      </w:r>
    </w:p>
    <w:p>
      <w:pPr>
        <w:widowControl w:val="0"/>
        <w:numPr>
          <w:ilvl w:val="0"/>
          <w:numId w:val="7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 xml:space="preserve">Проверка системы датчиков </w:t>
      </w:r>
    </w:p>
    <w:p>
      <w:pPr>
        <w:widowControl w:val="0"/>
        <w:numPr>
          <w:ilvl w:val="0"/>
          <w:numId w:val="7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 xml:space="preserve">Проверка элементов трубопроводов </w:t>
      </w:r>
    </w:p>
    <w:p>
      <w:pPr>
        <w:widowControl w:val="0"/>
        <w:numPr>
          <w:ilvl w:val="0"/>
          <w:numId w:val="7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сигнальной аппаратуры</w:t>
      </w:r>
    </w:p>
    <w:p>
      <w:pPr>
        <w:widowControl w:val="0"/>
        <w:numPr>
          <w:ilvl w:val="0"/>
          <w:numId w:val="7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уплотнительных элементов</w:t>
      </w:r>
    </w:p>
    <w:p>
      <w:pPr>
        <w:widowControl w:val="0"/>
        <w:numPr>
          <w:ilvl w:val="0"/>
          <w:numId w:val="7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работы программатора</w:t>
      </w:r>
    </w:p>
    <w:p>
      <w:pPr>
        <w:widowControl w:val="0"/>
        <w:numPr>
          <w:ilvl w:val="0"/>
          <w:numId w:val="7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Проверка работы запорной арматуры</w:t>
      </w:r>
    </w:p>
    <w:p>
      <w:pPr>
        <w:widowControl w:val="0"/>
        <w:ind w:firstLine="284"/>
        <w:jc w:val="both"/>
        <w:rPr>
          <w:b/>
          <w:bCs/>
          <w:i/>
        </w:rPr>
      </w:pPr>
      <w:r>
        <w:rPr>
          <w:bCs/>
          <w:u w:val="single"/>
        </w:rPr>
        <w:t>3.5. Устранение неисправностей в работе оборудования в процессе его эксплуатации и по аварийным вызовам "Заказчика", по факту поступления вызова в течение 36 часов:</w:t>
      </w:r>
    </w:p>
    <w:p>
      <w:pPr>
        <w:widowControl w:val="0"/>
        <w:numPr>
          <w:ilvl w:val="0"/>
          <w:numId w:val="8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Устранение последствий отказов или поломок оборудования, особенно для оборудования, отработавшего ресурс эксплуатации, предусмотренный рекомендациями заводов-изготовителей.</w:t>
      </w:r>
    </w:p>
    <w:p>
      <w:pPr>
        <w:widowControl w:val="0"/>
        <w:numPr>
          <w:ilvl w:val="0"/>
          <w:numId w:val="8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 xml:space="preserve">Замена (установка) запасных частей, материалов и комплектующих (за исключением работ, указанных в разделе </w:t>
      </w:r>
      <w:r>
        <w:rPr>
          <w:lang w:val="en-US"/>
        </w:rPr>
        <w:t>VI</w:t>
      </w:r>
      <w:r>
        <w:t xml:space="preserve"> настоящего перечня).</w:t>
      </w:r>
    </w:p>
    <w:p>
      <w:pPr>
        <w:widowControl w:val="0"/>
        <w:numPr>
          <w:ilvl w:val="0"/>
          <w:numId w:val="8"/>
        </w:numPr>
        <w:tabs>
          <w:tab w:val="left" w:pos="360"/>
          <w:tab w:val="clear" w:pos="1440"/>
        </w:tabs>
        <w:autoSpaceDE w:val="0"/>
        <w:autoSpaceDN w:val="0"/>
        <w:adjustRightInd w:val="0"/>
        <w:ind w:left="0" w:firstLine="284"/>
        <w:jc w:val="both"/>
      </w:pPr>
      <w:r>
        <w:t>Демонтаж списанного оборудования, входящего в перечень по Контракту</w:t>
      </w:r>
    </w:p>
    <w:p>
      <w:pPr>
        <w:pStyle w:val="6"/>
        <w:widowControl w:val="0"/>
        <w:ind w:firstLine="284"/>
        <w:rPr>
          <w:sz w:val="22"/>
          <w:szCs w:val="22"/>
        </w:rPr>
      </w:pPr>
      <w:r>
        <w:rPr>
          <w:sz w:val="22"/>
          <w:szCs w:val="22"/>
        </w:rPr>
        <w:t>Работы, по аварийным вызовам Заказчика, выполняются в срок не более 36 часов с момента получения заявки. Заявка может быть подана следующим образом: письменно, по факсу и по телефону. Датой принятия заявки к исполнению считается дата ее регистрация в журнале диспетчерской службы Исполнителя услуг.</w:t>
      </w:r>
    </w:p>
    <w:p>
      <w:pPr>
        <w:pStyle w:val="6"/>
        <w:widowControl w:val="0"/>
        <w:ind w:firstLine="284"/>
        <w:rPr>
          <w:sz w:val="22"/>
          <w:szCs w:val="22"/>
        </w:rPr>
      </w:pPr>
      <w:r>
        <w:rPr>
          <w:bCs/>
          <w:sz w:val="22"/>
          <w:szCs w:val="22"/>
        </w:rPr>
        <w:t>Устранение неисправностей в работе оборудования в процессе его эксплуатации и по аварийным вызовам Заказчика производятся из запасных частей и комплектующих изделий, предоставленных Исполнителю Заказчиком.</w:t>
      </w:r>
      <w:r>
        <w:rPr>
          <w:sz w:val="22"/>
          <w:szCs w:val="22"/>
        </w:rPr>
        <w:t xml:space="preserve"> </w:t>
      </w:r>
    </w:p>
    <w:p>
      <w:pPr>
        <w:pStyle w:val="6"/>
        <w:widowControl w:val="0"/>
        <w:ind w:firstLine="284"/>
        <w:rPr>
          <w:sz w:val="22"/>
          <w:szCs w:val="22"/>
        </w:rPr>
      </w:pPr>
      <w:r>
        <w:rPr>
          <w:sz w:val="22"/>
          <w:szCs w:val="22"/>
        </w:rPr>
        <w:t>Все расходы, связанные с оказанием выше перечисленных услуг, Исполнитель несет самостоятельно.</w:t>
      </w:r>
    </w:p>
    <w:p>
      <w:pPr>
        <w:keepNext/>
        <w:tabs>
          <w:tab w:val="left" w:pos="851"/>
        </w:tabs>
        <w:ind w:firstLine="284"/>
        <w:jc w:val="both"/>
        <w:rPr>
          <w:bCs/>
        </w:rPr>
      </w:pPr>
      <w:r>
        <w:rPr>
          <w:bCs/>
          <w:u w:val="single"/>
        </w:rPr>
        <w:t>3.6. В техническое обслуживание оборудования не входят</w:t>
      </w:r>
      <w:r>
        <w:rPr>
          <w:bCs/>
        </w:rPr>
        <w:t>:</w:t>
      </w:r>
    </w:p>
    <w:p>
      <w:pPr>
        <w:keepNext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284"/>
        <w:jc w:val="both"/>
        <w:rPr>
          <w:bCs/>
        </w:rPr>
      </w:pPr>
      <w:r>
        <w:rPr>
          <w:bCs/>
        </w:rPr>
        <w:t>общестроительные работы, пусконаладочные работы вновь приобретенного оборудования;</w:t>
      </w:r>
    </w:p>
    <w:p>
      <w:pPr>
        <w:keepNext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284"/>
        <w:jc w:val="both"/>
        <w:rPr>
          <w:bCs/>
        </w:rPr>
      </w:pPr>
      <w:r>
        <w:rPr>
          <w:bCs/>
        </w:rPr>
        <w:t>сварочные работы;</w:t>
      </w:r>
    </w:p>
    <w:p>
      <w:pPr>
        <w:keepNext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284"/>
        <w:jc w:val="both"/>
        <w:rPr>
          <w:bCs/>
        </w:rPr>
      </w:pPr>
      <w:r>
        <w:rPr>
          <w:bCs/>
        </w:rPr>
        <w:t>работы по электропроводке от распределительного электрощита до вводного устройства оборудования;</w:t>
      </w:r>
    </w:p>
    <w:p>
      <w:pPr>
        <w:keepNext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284"/>
        <w:jc w:val="both"/>
        <w:rPr>
          <w:bCs/>
        </w:rPr>
      </w:pPr>
      <w:r>
        <w:rPr>
          <w:bCs/>
        </w:rPr>
        <w:t>работы по общим санитарно-техническим коммуникациям здания / помещения Заказчика: водяным трубопроводам, канализации, сливным устройствам, вентиляции;</w:t>
      </w:r>
    </w:p>
    <w:p>
      <w:pPr>
        <w:keepNext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284"/>
        <w:jc w:val="both"/>
        <w:rPr>
          <w:bCs/>
        </w:rPr>
      </w:pPr>
      <w:r>
        <w:rPr>
          <w:bCs/>
        </w:rPr>
        <w:t>капитальный ремонт оборудования, замена изношенного оборудования и его частей (компрессоров, электродвигателей, испарителей, микропроцессоров, станций управления, корпусов).</w:t>
      </w:r>
    </w:p>
    <w:p>
      <w:pPr>
        <w:widowControl w:val="0"/>
        <w:ind w:firstLine="284"/>
        <w:jc w:val="both"/>
      </w:pPr>
      <w:r>
        <w:rPr>
          <w:bCs/>
        </w:rPr>
        <w:t xml:space="preserve">В случае выявления при оказании услуг неремонтопригодного оборудования Исполнитель оформляет и направляет Заказчику техническое заключение на его списание или акт технической экспертизы (по форме Исполнителя). Техническое заключение и (или) </w:t>
      </w:r>
      <w:r>
        <w:t>Акт технической экспертизы (по форме Исполнителя) в обязательном порядке должен быть составлен отдельно на каждый объект (оборудование) и содержать следующую информацию: наименование оборудования, инвентарный номер, серийный номер, год выпуска, балансовую и остаточную стоимость, процент износа, причины, характер неисправности и причина негодности к ремонту, ориентировочная    стоимость    ремонта, заключение   о целесообразности дальнейшего использования</w:t>
      </w:r>
    </w:p>
    <w:p>
      <w:pPr>
        <w:widowControl w:val="0"/>
        <w:ind w:firstLine="284"/>
        <w:jc w:val="both"/>
      </w:pPr>
      <w:r>
        <w:t>При оказании услуг Исполнитель гарантирует соблюдение требований действующих нормативных актов Российской Федерации, как в отношении работ, так и в отношении материалов, комплектующих и оборудования, используемого при выполнении работ (СНиП, ГОСТ), а также наличие сертификатов при оказании услуг, технических паспортов или других документов, удостоверяющих качество материалов, изделий и конструкций. По требованию Заказчика Исполнитель обязуется представлять все эти документы.</w:t>
      </w: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tbl>
      <w:tblPr>
        <w:tblStyle w:val="3"/>
        <w:tblW w:w="984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8"/>
        <w:gridCol w:w="46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>
            <w:pPr>
              <w:rPr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Директор</w:t>
            </w:r>
          </w:p>
          <w:p>
            <w:pPr>
              <w:rPr>
                <w:b/>
                <w:bCs/>
              </w:rPr>
            </w:pPr>
          </w:p>
          <w:p>
            <w:pPr>
              <w:rPr>
                <w:bCs/>
                <w:color w:val="000000"/>
                <w:highlight w:val="red"/>
              </w:rPr>
            </w:pPr>
            <w:r>
              <w:rPr>
                <w:bCs/>
                <w:color w:val="000000"/>
                <w:sz w:val="22"/>
                <w:szCs w:val="22"/>
              </w:rPr>
              <w:t>_____________ / М.Ю. Баранов /</w:t>
            </w:r>
          </w:p>
          <w:p>
            <w:pPr>
              <w:ind w:right="425"/>
              <w:rPr>
                <w:bCs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Исполнитель:</w:t>
            </w:r>
          </w:p>
          <w:p>
            <w:pPr>
              <w:rPr>
                <w:bCs/>
                <w:color w:val="000000"/>
              </w:rPr>
            </w:pPr>
          </w:p>
          <w:p>
            <w:pPr>
              <w:rPr>
                <w:bCs/>
                <w:color w:val="000000"/>
              </w:rPr>
            </w:pPr>
          </w:p>
          <w:p>
            <w:pPr>
              <w:rPr>
                <w:bCs/>
                <w:color w:val="000000"/>
              </w:rPr>
            </w:pPr>
          </w:p>
          <w:p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_____________ / </w:t>
            </w:r>
            <w:r>
              <w:rPr>
                <w:rFonts w:hint="default"/>
                <w:bCs/>
                <w:color w:val="000000"/>
                <w:sz w:val="22"/>
                <w:szCs w:val="22"/>
                <w:lang w:val="ru-RU"/>
              </w:rPr>
              <w:t xml:space="preserve">                           </w:t>
            </w:r>
            <w:r>
              <w:rPr>
                <w:bCs/>
                <w:color w:val="000000"/>
                <w:sz w:val="22"/>
                <w:szCs w:val="22"/>
              </w:rPr>
              <w:t>/</w:t>
            </w:r>
          </w:p>
          <w:p>
            <w:pPr>
              <w:rPr>
                <w:b/>
                <w:bCs/>
              </w:rPr>
            </w:pPr>
          </w:p>
        </w:tc>
      </w:tr>
    </w:tbl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jc w:val="right"/>
        <w:rPr>
          <w:b/>
          <w:bCs/>
          <w:sz w:val="22"/>
          <w:szCs w:val="22"/>
        </w:rPr>
      </w:pPr>
    </w:p>
    <w:p>
      <w:pPr>
        <w:rPr>
          <w:b/>
          <w:bCs/>
          <w:sz w:val="22"/>
          <w:szCs w:val="22"/>
        </w:rPr>
      </w:pPr>
    </w:p>
    <w:p>
      <w:pPr>
        <w:jc w:val="right"/>
        <w:rPr>
          <w:sz w:val="22"/>
          <w:szCs w:val="22"/>
          <w:lang w:eastAsia="ar-SA"/>
        </w:rPr>
        <w:sectPr>
          <w:pgSz w:w="11906" w:h="16838"/>
          <w:pgMar w:top="1134" w:right="851" w:bottom="1134" w:left="1134" w:header="397" w:footer="397" w:gutter="0"/>
          <w:cols w:space="720" w:num="1"/>
          <w:docGrid w:linePitch="326" w:charSpace="0"/>
        </w:sectPr>
      </w:pPr>
    </w:p>
    <w:p>
      <w:pPr>
        <w:ind w:left="5103"/>
        <w:jc w:val="right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Приложение № 3 к Контракту</w:t>
      </w:r>
    </w:p>
    <w:p>
      <w:pPr>
        <w:ind w:left="5103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№</w:t>
      </w:r>
      <w:r>
        <w:rPr>
          <w:iCs/>
          <w:sz w:val="22"/>
          <w:szCs w:val="22"/>
        </w:rPr>
        <w:t xml:space="preserve"> </w:t>
      </w:r>
      <w:r>
        <w:rPr>
          <w:b/>
          <w:iCs/>
          <w:sz w:val="22"/>
          <w:szCs w:val="22"/>
        </w:rPr>
        <w:t>ТО/ТТО/2</w:t>
      </w:r>
      <w:r>
        <w:rPr>
          <w:rFonts w:hint="default"/>
          <w:b/>
          <w:iCs/>
          <w:sz w:val="22"/>
          <w:szCs w:val="22"/>
          <w:lang w:val="ru-RU"/>
        </w:rPr>
        <w:t>4</w:t>
      </w:r>
      <w:r>
        <w:rPr>
          <w:sz w:val="22"/>
          <w:szCs w:val="22"/>
          <w:lang w:eastAsia="ar-SA"/>
        </w:rPr>
        <w:t xml:space="preserve"> от «__» _________ 202</w:t>
      </w:r>
      <w:r>
        <w:rPr>
          <w:rFonts w:hint="default"/>
          <w:sz w:val="22"/>
          <w:szCs w:val="22"/>
          <w:lang w:val="ru-RU" w:eastAsia="ar-SA"/>
        </w:rPr>
        <w:t>4</w:t>
      </w:r>
      <w:r>
        <w:rPr>
          <w:sz w:val="22"/>
          <w:szCs w:val="22"/>
          <w:lang w:eastAsia="ar-SA"/>
        </w:rPr>
        <w:t xml:space="preserve"> года</w:t>
      </w:r>
    </w:p>
    <w:p>
      <w:pPr>
        <w:jc w:val="right"/>
        <w:rPr>
          <w:sz w:val="22"/>
          <w:szCs w:val="22"/>
          <w:lang w:eastAsia="ar-SA"/>
        </w:rPr>
      </w:pPr>
    </w:p>
    <w:p>
      <w:pPr>
        <w:jc w:val="center"/>
        <w:rPr>
          <w:i/>
          <w:sz w:val="22"/>
          <w:szCs w:val="22"/>
          <w:lang w:eastAsia="ar-SA"/>
        </w:rPr>
      </w:pPr>
      <w:r>
        <w:rPr>
          <w:i/>
          <w:sz w:val="22"/>
          <w:szCs w:val="22"/>
          <w:lang w:eastAsia="ar-SA"/>
        </w:rPr>
        <w:t>ФОРМА</w:t>
      </w:r>
    </w:p>
    <w:p>
      <w:pPr>
        <w:jc w:val="center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Акт первичного осмотра оборудования</w:t>
      </w:r>
    </w:p>
    <w:p>
      <w:pPr>
        <w:widowControl w:val="0"/>
        <w:tabs>
          <w:tab w:val="left" w:pos="1260"/>
        </w:tabs>
        <w:ind w:firstLine="709"/>
        <w:jc w:val="center"/>
        <w:rPr>
          <w:b/>
          <w:bCs/>
          <w:sz w:val="22"/>
          <w:szCs w:val="22"/>
        </w:rPr>
      </w:pPr>
    </w:p>
    <w:p>
      <w:pPr>
        <w:widowControl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Представителем __________________ (наименование Исполнителя), _____________________ (должность и Ф.И.О. представителя Исполнителя), в присутствии представителя ____________________ (наименование Заказчика), ______________________________ (должность и Ф.И.О. представителя Заказчика) составлен настоящий Акт о том, что «____» __________________20___г. произведен первичный осмотр технологического оборудования, размещенного в помещениях Заказчика по адресу: __________________________________</w:t>
      </w:r>
    </w:p>
    <w:p>
      <w:pPr>
        <w:widowControl w:val="0"/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Результаты первичного осмотра: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4477"/>
        <w:gridCol w:w="2513"/>
        <w:gridCol w:w="20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  <w:r>
              <w:rPr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  <w:r>
              <w:rPr>
                <w:sz w:val="22"/>
                <w:szCs w:val="22"/>
              </w:rPr>
              <w:t>Техническое состояние оборудование</w:t>
            </w:r>
            <w:r>
              <w:rPr>
                <w:rStyle w:val="4"/>
                <w:sz w:val="22"/>
                <w:szCs w:val="22"/>
              </w:rPr>
              <w:footnoteReference w:id="0"/>
            </w: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  <w:r>
              <w:rPr>
                <w:sz w:val="22"/>
                <w:szCs w:val="22"/>
              </w:rPr>
              <w:t>Примечание</w:t>
            </w:r>
            <w:r>
              <w:rPr>
                <w:rStyle w:val="4"/>
                <w:sz w:val="22"/>
                <w:szCs w:val="22"/>
              </w:rPr>
              <w:footnoteReference w:id="1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4849" w:type="dxa"/>
            <w:shd w:val="clear" w:color="auto" w:fill="auto"/>
            <w:vAlign w:val="center"/>
          </w:tcPr>
          <w:p>
            <w:pPr>
              <w:widowControl w:val="0"/>
            </w:pPr>
          </w:p>
        </w:tc>
        <w:tc>
          <w:tcPr>
            <w:tcW w:w="2629" w:type="dxa"/>
            <w:shd w:val="clear" w:color="auto" w:fill="auto"/>
            <w:vAlign w:val="center"/>
          </w:tcPr>
          <w:p>
            <w:pPr>
              <w:widowControl w:val="0"/>
              <w:jc w:val="center"/>
            </w:pPr>
          </w:p>
        </w:tc>
        <w:tc>
          <w:tcPr>
            <w:tcW w:w="2088" w:type="dxa"/>
            <w:vAlign w:val="center"/>
          </w:tcPr>
          <w:p>
            <w:pPr>
              <w:widowControl w:val="0"/>
              <w:jc w:val="center"/>
            </w:pPr>
          </w:p>
        </w:tc>
      </w:tr>
    </w:tbl>
    <w:p>
      <w:pPr>
        <w:widowControl w:val="0"/>
        <w:rPr>
          <w:sz w:val="22"/>
          <w:szCs w:val="22"/>
        </w:rPr>
      </w:pPr>
    </w:p>
    <w:p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Выводы</w:t>
      </w:r>
      <w:r>
        <w:rPr>
          <w:rStyle w:val="4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>: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widowControl w:val="0"/>
        <w:rPr>
          <w:b/>
          <w:sz w:val="22"/>
          <w:szCs w:val="22"/>
        </w:rPr>
      </w:pPr>
    </w:p>
    <w:tbl>
      <w:tblPr>
        <w:tblStyle w:val="3"/>
        <w:tblW w:w="984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8"/>
        <w:gridCol w:w="46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>
            <w:pPr>
              <w:rPr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Директор</w:t>
            </w: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Cs/>
                <w:color w:val="000000"/>
                <w:highlight w:val="red"/>
              </w:rPr>
            </w:pPr>
            <w:r>
              <w:rPr>
                <w:bCs/>
                <w:color w:val="000000"/>
                <w:sz w:val="22"/>
                <w:szCs w:val="22"/>
              </w:rPr>
              <w:t>_____________ / М.Ю. Баранов /</w:t>
            </w:r>
          </w:p>
          <w:p>
            <w:pPr>
              <w:ind w:right="425"/>
              <w:rPr>
                <w:bCs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Исполнитель:</w:t>
            </w:r>
          </w:p>
          <w:p>
            <w:pPr>
              <w:ind w:hanging="2"/>
              <w:contextualSpacing/>
            </w:pPr>
          </w:p>
          <w:p>
            <w:pPr>
              <w:rPr>
                <w:bCs/>
                <w:color w:val="000000"/>
              </w:rPr>
            </w:pPr>
          </w:p>
          <w:p>
            <w:pPr>
              <w:rPr>
                <w:bCs/>
                <w:color w:val="000000"/>
              </w:rPr>
            </w:pPr>
          </w:p>
          <w:p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_____________ / </w:t>
            </w:r>
            <w:r>
              <w:rPr>
                <w:rFonts w:hint="default"/>
                <w:bCs/>
                <w:color w:val="000000"/>
                <w:sz w:val="22"/>
                <w:szCs w:val="22"/>
                <w:lang w:val="ru-RU"/>
              </w:rPr>
              <w:t xml:space="preserve">                        </w:t>
            </w:r>
            <w:r>
              <w:rPr>
                <w:bCs/>
                <w:color w:val="000000"/>
                <w:sz w:val="22"/>
                <w:szCs w:val="22"/>
              </w:rPr>
              <w:t>/</w:t>
            </w:r>
          </w:p>
          <w:p>
            <w:pPr>
              <w:rPr>
                <w:b/>
                <w:bCs/>
              </w:rPr>
            </w:pPr>
          </w:p>
        </w:tc>
      </w:tr>
    </w:tbl>
    <w:p>
      <w:pPr>
        <w:jc w:val="right"/>
        <w:rPr>
          <w:sz w:val="22"/>
          <w:szCs w:val="22"/>
          <w:lang w:eastAsia="ar-SA"/>
        </w:rPr>
      </w:pPr>
    </w:p>
    <w:p>
      <w:pPr>
        <w:ind w:left="5103"/>
        <w:jc w:val="right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Приложение № 4 к Контракту</w:t>
      </w:r>
    </w:p>
    <w:p>
      <w:pPr>
        <w:ind w:left="5103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№</w:t>
      </w:r>
      <w:r>
        <w:rPr>
          <w:iCs/>
          <w:sz w:val="22"/>
          <w:szCs w:val="22"/>
        </w:rPr>
        <w:t xml:space="preserve"> </w:t>
      </w:r>
      <w:r>
        <w:rPr>
          <w:b/>
          <w:iCs/>
          <w:sz w:val="22"/>
          <w:szCs w:val="22"/>
        </w:rPr>
        <w:t>ТО/ТТО/2</w:t>
      </w:r>
      <w:r>
        <w:rPr>
          <w:rFonts w:hint="default"/>
          <w:b/>
          <w:iCs/>
          <w:sz w:val="22"/>
          <w:szCs w:val="22"/>
          <w:lang w:val="ru-RU"/>
        </w:rPr>
        <w:t>4</w:t>
      </w:r>
      <w:r>
        <w:rPr>
          <w:sz w:val="22"/>
          <w:szCs w:val="22"/>
          <w:lang w:eastAsia="ar-SA"/>
        </w:rPr>
        <w:t xml:space="preserve"> от «__» _________ 202</w:t>
      </w:r>
      <w:r>
        <w:rPr>
          <w:rFonts w:hint="default"/>
          <w:sz w:val="22"/>
          <w:szCs w:val="22"/>
          <w:lang w:val="ru-RU" w:eastAsia="ar-SA"/>
        </w:rPr>
        <w:t>4</w:t>
      </w:r>
      <w:r>
        <w:rPr>
          <w:sz w:val="22"/>
          <w:szCs w:val="22"/>
          <w:lang w:eastAsia="ar-SA"/>
        </w:rPr>
        <w:t xml:space="preserve"> года</w:t>
      </w:r>
    </w:p>
    <w:p>
      <w:pPr>
        <w:jc w:val="right"/>
        <w:rPr>
          <w:sz w:val="22"/>
          <w:szCs w:val="22"/>
          <w:lang w:eastAsia="ar-SA"/>
        </w:rPr>
      </w:pPr>
    </w:p>
    <w:p>
      <w:pPr>
        <w:jc w:val="center"/>
        <w:rPr>
          <w:i/>
          <w:sz w:val="22"/>
          <w:szCs w:val="22"/>
          <w:lang w:eastAsia="ar-SA"/>
        </w:rPr>
      </w:pPr>
      <w:r>
        <w:rPr>
          <w:i/>
          <w:sz w:val="22"/>
          <w:szCs w:val="22"/>
          <w:lang w:eastAsia="ar-SA"/>
        </w:rPr>
        <w:t>ФОРМА</w:t>
      </w:r>
    </w:p>
    <w:p>
      <w:pPr>
        <w:keepNext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Акт технического состояния технологического оборудования</w:t>
      </w:r>
    </w:p>
    <w:p>
      <w:pPr>
        <w:keepNext/>
        <w:rPr>
          <w:bCs/>
          <w:sz w:val="22"/>
          <w:szCs w:val="22"/>
        </w:rPr>
      </w:pPr>
    </w:p>
    <w:p>
      <w:pPr>
        <w:keepNext/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Представителем __________________ (наименование Исполнителя), _____________________ (должность и Ф.И.О. представителя Исполнителя), и представителем ____________________ (наименование Заказчика), ______________________________ (должность и Ф.И.О. представителя Заказчика) составлен настоящий акт о том, что по состоянию на «____» ___________ 20___г. следующее технологическое оборудование учреждения находится в технически исправном состоянии и годно к эксплуатации:</w:t>
      </w:r>
    </w:p>
    <w:p>
      <w:pPr>
        <w:keepNext/>
        <w:rPr>
          <w:bCs/>
          <w:sz w:val="22"/>
          <w:szCs w:val="22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5529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  <w:jc w:val="center"/>
            </w:pPr>
            <w:r>
              <w:rPr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  <w:r>
              <w:rPr>
                <w:sz w:val="22"/>
                <w:szCs w:val="22"/>
              </w:rPr>
              <w:t>Кол-во оборудования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  <w:tc>
          <w:tcPr>
            <w:tcW w:w="5529" w:type="dxa"/>
            <w:shd w:val="clear" w:color="auto" w:fill="auto"/>
            <w:vAlign w:val="center"/>
          </w:tcPr>
          <w:p>
            <w:pPr>
              <w:keepNext/>
            </w:pP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keepNext/>
              <w:jc w:val="center"/>
            </w:pPr>
          </w:p>
        </w:tc>
      </w:tr>
    </w:tbl>
    <w:p>
      <w:pPr>
        <w:keepNext/>
        <w:rPr>
          <w:b/>
          <w:sz w:val="22"/>
          <w:szCs w:val="22"/>
        </w:rPr>
      </w:pPr>
    </w:p>
    <w:p>
      <w:pPr>
        <w:keepNext/>
        <w:rPr>
          <w:b/>
          <w:sz w:val="22"/>
          <w:szCs w:val="22"/>
        </w:rPr>
      </w:pPr>
    </w:p>
    <w:tbl>
      <w:tblPr>
        <w:tblStyle w:val="3"/>
        <w:tblW w:w="984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8"/>
        <w:gridCol w:w="46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>
            <w:pPr>
              <w:rPr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Директор</w:t>
            </w:r>
          </w:p>
          <w:p>
            <w:pPr>
              <w:rPr>
                <w:b/>
                <w:bCs/>
              </w:rPr>
            </w:pPr>
          </w:p>
          <w:p>
            <w:pPr>
              <w:rPr>
                <w:bCs/>
                <w:color w:val="000000"/>
                <w:highlight w:val="red"/>
              </w:rPr>
            </w:pPr>
            <w:r>
              <w:rPr>
                <w:bCs/>
                <w:color w:val="000000"/>
                <w:sz w:val="22"/>
                <w:szCs w:val="22"/>
              </w:rPr>
              <w:t>_____________ / М.Ю. Баранов /</w:t>
            </w:r>
          </w:p>
          <w:p>
            <w:pPr>
              <w:ind w:right="425"/>
              <w:rPr>
                <w:bCs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Исполнитель:</w:t>
            </w:r>
          </w:p>
          <w:p>
            <w:pPr>
              <w:ind w:hanging="2"/>
              <w:contextualSpacing/>
            </w:pPr>
          </w:p>
          <w:p>
            <w:pPr>
              <w:rPr>
                <w:bCs/>
                <w:color w:val="000000"/>
              </w:rPr>
            </w:pPr>
          </w:p>
          <w:p>
            <w:pPr>
              <w:rPr>
                <w:bCs/>
                <w:color w:val="000000"/>
              </w:rPr>
            </w:pPr>
          </w:p>
          <w:p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_____________ / </w:t>
            </w:r>
            <w:r>
              <w:rPr>
                <w:rFonts w:hint="default"/>
                <w:bCs/>
                <w:color w:val="000000"/>
                <w:sz w:val="22"/>
                <w:szCs w:val="22"/>
                <w:lang w:val="ru-RU"/>
              </w:rPr>
              <w:t xml:space="preserve">                     </w:t>
            </w:r>
            <w:r>
              <w:rPr>
                <w:bCs/>
                <w:color w:val="000000"/>
                <w:sz w:val="22"/>
                <w:szCs w:val="22"/>
              </w:rPr>
              <w:t>/</w:t>
            </w:r>
          </w:p>
          <w:p>
            <w:pPr>
              <w:rPr>
                <w:b/>
                <w:bCs/>
              </w:rPr>
            </w:pPr>
          </w:p>
        </w:tc>
      </w:tr>
    </w:tbl>
    <w:p>
      <w:pPr>
        <w:keepNext/>
        <w:rPr>
          <w:b/>
          <w:sz w:val="22"/>
          <w:szCs w:val="22"/>
        </w:rPr>
      </w:pPr>
    </w:p>
    <w:p>
      <w:pPr>
        <w:keepNext/>
        <w:rPr>
          <w:b/>
          <w:sz w:val="22"/>
          <w:szCs w:val="22"/>
        </w:rPr>
      </w:pPr>
    </w:p>
    <w:p>
      <w:pPr>
        <w:keepNext/>
        <w:rPr>
          <w:b/>
          <w:sz w:val="22"/>
          <w:szCs w:val="22"/>
        </w:rPr>
      </w:pPr>
    </w:p>
    <w:p>
      <w:pPr>
        <w:rPr>
          <w:sz w:val="22"/>
          <w:szCs w:val="22"/>
        </w:rPr>
      </w:pPr>
    </w:p>
    <w:p>
      <w:pPr>
        <w:rPr>
          <w:sz w:val="22"/>
          <w:szCs w:val="22"/>
        </w:rPr>
      </w:pPr>
    </w:p>
    <w:p>
      <w:pPr>
        <w:rPr>
          <w:sz w:val="22"/>
          <w:szCs w:val="22"/>
        </w:rPr>
      </w:pPr>
    </w:p>
    <w:p>
      <w:pPr>
        <w:rPr>
          <w:sz w:val="22"/>
          <w:szCs w:val="22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Sans Serif">
    <w:panose1 w:val="020B0604020202020204"/>
    <w:charset w:val="CC"/>
    <w:family w:val="swiss"/>
    <w:pitch w:val="default"/>
    <w:sig w:usb0="E5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oto Sans Symbols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6">
    <w:p>
      <w:r>
        <w:separator/>
      </w:r>
    </w:p>
  </w:footnote>
  <w:footnote w:type="continuationSeparator" w:id="7">
    <w:p>
      <w:r>
        <w:continuationSeparator/>
      </w:r>
    </w:p>
  </w:footnote>
  <w:footnote w:id="0">
    <w:p>
      <w:pPr>
        <w:pStyle w:val="5"/>
        <w:rPr>
          <w:i/>
        </w:rPr>
      </w:pPr>
      <w:r>
        <w:rPr>
          <w:rStyle w:val="4"/>
        </w:rPr>
        <w:footnoteRef/>
      </w:r>
      <w:r>
        <w:t xml:space="preserve"> Пример: </w:t>
      </w:r>
      <w:r>
        <w:rPr>
          <w:i/>
        </w:rPr>
        <w:t>Удовлетворительное / неудовлетворительное</w:t>
      </w:r>
    </w:p>
  </w:footnote>
  <w:footnote w:id="1">
    <w:p>
      <w:pPr>
        <w:pStyle w:val="5"/>
        <w:rPr>
          <w:i/>
        </w:rPr>
      </w:pPr>
      <w:r>
        <w:rPr>
          <w:rStyle w:val="4"/>
        </w:rPr>
        <w:footnoteRef/>
      </w:r>
      <w:r>
        <w:t xml:space="preserve"> Пример: </w:t>
      </w:r>
      <w:r>
        <w:rPr>
          <w:i/>
        </w:rPr>
        <w:t>Исправно / неисправно; подлежит / не подлежит ремонту</w:t>
      </w:r>
    </w:p>
  </w:footnote>
  <w:footnote w:id="2">
    <w:p>
      <w:pPr>
        <w:pStyle w:val="5"/>
        <w:rPr>
          <w:i/>
        </w:rPr>
      </w:pPr>
      <w:r>
        <w:rPr>
          <w:rStyle w:val="4"/>
        </w:rPr>
        <w:footnoteRef/>
      </w:r>
      <w:r>
        <w:t xml:space="preserve"> Пример: </w:t>
      </w:r>
      <w:r>
        <w:rPr>
          <w:bCs/>
          <w:i/>
        </w:rPr>
        <w:t>Технологическое оборудование учреждения находится в технически исправном состоянии и годно к эксплуатации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D13BD8"/>
    <w:multiLevelType w:val="multilevel"/>
    <w:tmpl w:val="02D13BD8"/>
    <w:lvl w:ilvl="0" w:tentative="0">
      <w:start w:val="1"/>
      <w:numFmt w:val="bullet"/>
      <w:lvlText w:val="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">
    <w:nsid w:val="04F30822"/>
    <w:multiLevelType w:val="multilevel"/>
    <w:tmpl w:val="04F30822"/>
    <w:lvl w:ilvl="0" w:tentative="0">
      <w:start w:val="1"/>
      <w:numFmt w:val="bullet"/>
      <w:lvlText w:val="⋅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 w:tentative="0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 w:tentative="0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 w:tentative="0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 w:tentative="0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 w:tentative="0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2">
    <w:nsid w:val="10CF1A8A"/>
    <w:multiLevelType w:val="multilevel"/>
    <w:tmpl w:val="10CF1A8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A5316"/>
    <w:multiLevelType w:val="multilevel"/>
    <w:tmpl w:val="357A5316"/>
    <w:lvl w:ilvl="0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16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4">
    <w:nsid w:val="43AA08DA"/>
    <w:multiLevelType w:val="multilevel"/>
    <w:tmpl w:val="43AA08DA"/>
    <w:lvl w:ilvl="0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16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5">
    <w:nsid w:val="4E304825"/>
    <w:multiLevelType w:val="multilevel"/>
    <w:tmpl w:val="4E304825"/>
    <w:lvl w:ilvl="0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16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6">
    <w:nsid w:val="535359B3"/>
    <w:multiLevelType w:val="multilevel"/>
    <w:tmpl w:val="535359B3"/>
    <w:lvl w:ilvl="0" w:tentative="0">
      <w:start w:val="1"/>
      <w:numFmt w:val="bullet"/>
      <w:lvlText w:val=""/>
      <w:lvlJc w:val="left"/>
      <w:pPr>
        <w:ind w:left="11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7">
    <w:nsid w:val="68583E07"/>
    <w:multiLevelType w:val="multilevel"/>
    <w:tmpl w:val="68583E07"/>
    <w:lvl w:ilvl="0" w:tentative="0">
      <w:start w:val="1"/>
      <w:numFmt w:val="bullet"/>
      <w:lvlText w:val="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8">
    <w:nsid w:val="691F2647"/>
    <w:multiLevelType w:val="multilevel"/>
    <w:tmpl w:val="691F2647"/>
    <w:lvl w:ilvl="0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16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3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characterSpacingControl w:val="doNotCompress"/>
  <w:footnotePr>
    <w:footnote w:id="6"/>
    <w:footnote w:id="7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7C"/>
    <w:rsid w:val="000129A7"/>
    <w:rsid w:val="00032F6F"/>
    <w:rsid w:val="000437AE"/>
    <w:rsid w:val="000625D9"/>
    <w:rsid w:val="00066BD3"/>
    <w:rsid w:val="000C7601"/>
    <w:rsid w:val="0010124F"/>
    <w:rsid w:val="00114106"/>
    <w:rsid w:val="00114776"/>
    <w:rsid w:val="00121AA9"/>
    <w:rsid w:val="00136278"/>
    <w:rsid w:val="00162BAB"/>
    <w:rsid w:val="00174D68"/>
    <w:rsid w:val="00184769"/>
    <w:rsid w:val="00187ABD"/>
    <w:rsid w:val="001B234D"/>
    <w:rsid w:val="001B55B2"/>
    <w:rsid w:val="001F4626"/>
    <w:rsid w:val="0020602E"/>
    <w:rsid w:val="002120CC"/>
    <w:rsid w:val="002136EF"/>
    <w:rsid w:val="00277154"/>
    <w:rsid w:val="002D03C5"/>
    <w:rsid w:val="002F1675"/>
    <w:rsid w:val="0031222F"/>
    <w:rsid w:val="00316E7D"/>
    <w:rsid w:val="0032694D"/>
    <w:rsid w:val="00335730"/>
    <w:rsid w:val="00347230"/>
    <w:rsid w:val="0037400A"/>
    <w:rsid w:val="00385F46"/>
    <w:rsid w:val="003F4CD3"/>
    <w:rsid w:val="00401FB2"/>
    <w:rsid w:val="00412347"/>
    <w:rsid w:val="004212A8"/>
    <w:rsid w:val="00432D00"/>
    <w:rsid w:val="0043726E"/>
    <w:rsid w:val="00437C02"/>
    <w:rsid w:val="0045507C"/>
    <w:rsid w:val="004867B3"/>
    <w:rsid w:val="00491327"/>
    <w:rsid w:val="004A38F2"/>
    <w:rsid w:val="004C6499"/>
    <w:rsid w:val="004D72E2"/>
    <w:rsid w:val="004E3B29"/>
    <w:rsid w:val="004F6C2E"/>
    <w:rsid w:val="004F78B4"/>
    <w:rsid w:val="00501D6B"/>
    <w:rsid w:val="0050395B"/>
    <w:rsid w:val="00516E5C"/>
    <w:rsid w:val="00573DCA"/>
    <w:rsid w:val="005A42B4"/>
    <w:rsid w:val="005D5E15"/>
    <w:rsid w:val="00617839"/>
    <w:rsid w:val="00633812"/>
    <w:rsid w:val="00647A53"/>
    <w:rsid w:val="00655C51"/>
    <w:rsid w:val="00670BAD"/>
    <w:rsid w:val="00676DDB"/>
    <w:rsid w:val="006855C6"/>
    <w:rsid w:val="006A68B2"/>
    <w:rsid w:val="006B2F89"/>
    <w:rsid w:val="006C7EEC"/>
    <w:rsid w:val="006D7D3C"/>
    <w:rsid w:val="006E73A9"/>
    <w:rsid w:val="006F3C55"/>
    <w:rsid w:val="00727FFE"/>
    <w:rsid w:val="00750BBA"/>
    <w:rsid w:val="007646D9"/>
    <w:rsid w:val="00770F0C"/>
    <w:rsid w:val="00771E5B"/>
    <w:rsid w:val="00784C2B"/>
    <w:rsid w:val="007A1378"/>
    <w:rsid w:val="007A3F89"/>
    <w:rsid w:val="007E0488"/>
    <w:rsid w:val="007F2BED"/>
    <w:rsid w:val="007F3FD8"/>
    <w:rsid w:val="008005DB"/>
    <w:rsid w:val="008040A1"/>
    <w:rsid w:val="00806187"/>
    <w:rsid w:val="008104FB"/>
    <w:rsid w:val="008430FE"/>
    <w:rsid w:val="00855679"/>
    <w:rsid w:val="00855FF0"/>
    <w:rsid w:val="00860136"/>
    <w:rsid w:val="00880916"/>
    <w:rsid w:val="00890BD2"/>
    <w:rsid w:val="008C1B61"/>
    <w:rsid w:val="008C20AA"/>
    <w:rsid w:val="0090261C"/>
    <w:rsid w:val="00920623"/>
    <w:rsid w:val="0092457C"/>
    <w:rsid w:val="00925419"/>
    <w:rsid w:val="0093297C"/>
    <w:rsid w:val="00935848"/>
    <w:rsid w:val="00940BC8"/>
    <w:rsid w:val="0094247F"/>
    <w:rsid w:val="009771E0"/>
    <w:rsid w:val="00977CB5"/>
    <w:rsid w:val="009A166E"/>
    <w:rsid w:val="009C788F"/>
    <w:rsid w:val="009D2825"/>
    <w:rsid w:val="00A1751F"/>
    <w:rsid w:val="00A24E4E"/>
    <w:rsid w:val="00A2554E"/>
    <w:rsid w:val="00A309F2"/>
    <w:rsid w:val="00A35A43"/>
    <w:rsid w:val="00A5407C"/>
    <w:rsid w:val="00A626EC"/>
    <w:rsid w:val="00A64029"/>
    <w:rsid w:val="00A66631"/>
    <w:rsid w:val="00A72CE3"/>
    <w:rsid w:val="00A947FF"/>
    <w:rsid w:val="00AB1D89"/>
    <w:rsid w:val="00AE6BE4"/>
    <w:rsid w:val="00AF02E2"/>
    <w:rsid w:val="00B00B1D"/>
    <w:rsid w:val="00B01C8B"/>
    <w:rsid w:val="00B1170F"/>
    <w:rsid w:val="00B459F4"/>
    <w:rsid w:val="00B5437D"/>
    <w:rsid w:val="00B91486"/>
    <w:rsid w:val="00BA74EE"/>
    <w:rsid w:val="00BB6772"/>
    <w:rsid w:val="00BB7E95"/>
    <w:rsid w:val="00BC4BE0"/>
    <w:rsid w:val="00BE0661"/>
    <w:rsid w:val="00C3786B"/>
    <w:rsid w:val="00C448E0"/>
    <w:rsid w:val="00C56A95"/>
    <w:rsid w:val="00C61CF2"/>
    <w:rsid w:val="00C77018"/>
    <w:rsid w:val="00CB1359"/>
    <w:rsid w:val="00CD09F3"/>
    <w:rsid w:val="00D20622"/>
    <w:rsid w:val="00D459A7"/>
    <w:rsid w:val="00D46EC5"/>
    <w:rsid w:val="00D553CC"/>
    <w:rsid w:val="00D63714"/>
    <w:rsid w:val="00D95F36"/>
    <w:rsid w:val="00DC4D3B"/>
    <w:rsid w:val="00DD0D6D"/>
    <w:rsid w:val="00DE26A2"/>
    <w:rsid w:val="00E01750"/>
    <w:rsid w:val="00E155B7"/>
    <w:rsid w:val="00E314B2"/>
    <w:rsid w:val="00E549E4"/>
    <w:rsid w:val="00E7507A"/>
    <w:rsid w:val="00EA528A"/>
    <w:rsid w:val="00EB1C04"/>
    <w:rsid w:val="00EE263F"/>
    <w:rsid w:val="00EF5B5E"/>
    <w:rsid w:val="00F1347C"/>
    <w:rsid w:val="00F81CA2"/>
    <w:rsid w:val="00F8544B"/>
    <w:rsid w:val="00F941A8"/>
    <w:rsid w:val="00FF05C0"/>
    <w:rsid w:val="00FF5D0C"/>
    <w:rsid w:val="00FF6732"/>
    <w:rsid w:val="51635E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ind w:firstLine="0"/>
      <w:jc w:val="left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qFormat/>
    <w:uiPriority w:val="99"/>
    <w:rPr>
      <w:rFonts w:cs="Times New Roman"/>
      <w:vertAlign w:val="superscript"/>
    </w:rPr>
  </w:style>
  <w:style w:type="paragraph" w:styleId="5">
    <w:name w:val="footnote text"/>
    <w:basedOn w:val="1"/>
    <w:link w:val="10"/>
    <w:qFormat/>
    <w:uiPriority w:val="0"/>
    <w:pPr>
      <w:spacing w:after="60"/>
      <w:jc w:val="both"/>
    </w:pPr>
    <w:rPr>
      <w:sz w:val="20"/>
      <w:szCs w:val="20"/>
    </w:rPr>
  </w:style>
  <w:style w:type="paragraph" w:styleId="6">
    <w:name w:val="Body Text"/>
    <w:basedOn w:val="1"/>
    <w:link w:val="14"/>
    <w:qFormat/>
    <w:uiPriority w:val="0"/>
    <w:pPr>
      <w:jc w:val="both"/>
    </w:pPr>
    <w:rPr>
      <w:szCs w:val="20"/>
    </w:rPr>
  </w:style>
  <w:style w:type="paragraph" w:styleId="7">
    <w:name w:val="Body Text Indent"/>
    <w:basedOn w:val="1"/>
    <w:link w:val="17"/>
    <w:unhideWhenUsed/>
    <w:qFormat/>
    <w:uiPriority w:val="99"/>
    <w:pPr>
      <w:spacing w:after="120"/>
      <w:ind w:left="283"/>
    </w:pPr>
  </w:style>
  <w:style w:type="table" w:styleId="8">
    <w:name w:val="Table Grid"/>
    <w:basedOn w:val="3"/>
    <w:qFormat/>
    <w:uiPriority w:val="39"/>
    <w:pPr>
      <w:ind w:firstLine="0"/>
      <w:jc w:val="left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ConsPlusNormal"/>
    <w:link w:val="12"/>
    <w:uiPriority w:val="0"/>
    <w:pPr>
      <w:widowControl w:val="0"/>
      <w:autoSpaceDE w:val="0"/>
      <w:autoSpaceDN w:val="0"/>
      <w:adjustRightInd w:val="0"/>
      <w:ind w:firstLine="720"/>
      <w:jc w:val="left"/>
    </w:pPr>
    <w:rPr>
      <w:rFonts w:ascii="Arial" w:hAnsi="Arial" w:eastAsia="Times New Roman" w:cs="Times New Roman"/>
      <w:sz w:val="22"/>
      <w:szCs w:val="22"/>
      <w:lang w:val="ru-RU" w:eastAsia="ru-RU" w:bidi="ar-SA"/>
    </w:rPr>
  </w:style>
  <w:style w:type="character" w:customStyle="1" w:styleId="10">
    <w:name w:val="Текст сноски Знак"/>
    <w:basedOn w:val="2"/>
    <w:link w:val="5"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customStyle="1" w:styleId="11">
    <w:name w:val="ConsPlusTitle"/>
    <w:qFormat/>
    <w:uiPriority w:val="0"/>
    <w:pPr>
      <w:autoSpaceDE w:val="0"/>
      <w:autoSpaceDN w:val="0"/>
      <w:adjustRightInd w:val="0"/>
      <w:ind w:firstLine="0"/>
      <w:jc w:val="left"/>
    </w:pPr>
    <w:rPr>
      <w:rFonts w:ascii="Times New Roman" w:hAnsi="Times New Roman" w:eastAsia="Times New Roman" w:cs="Times New Roman"/>
      <w:b/>
      <w:bCs/>
      <w:sz w:val="24"/>
      <w:szCs w:val="24"/>
      <w:lang w:val="ru-RU" w:eastAsia="ru-RU" w:bidi="ar-SA"/>
    </w:rPr>
  </w:style>
  <w:style w:type="character" w:customStyle="1" w:styleId="12">
    <w:name w:val="ConsPlusNormal Знак"/>
    <w:link w:val="9"/>
    <w:qFormat/>
    <w:locked/>
    <w:uiPriority w:val="0"/>
    <w:rPr>
      <w:rFonts w:ascii="Arial" w:hAnsi="Arial" w:eastAsia="Times New Roman" w:cs="Times New Roman"/>
      <w:lang w:eastAsia="ru-RU"/>
    </w:rPr>
  </w:style>
  <w:style w:type="paragraph" w:customStyle="1" w:styleId="13">
    <w:name w:val="Абзац списка1"/>
    <w:basedOn w:val="1"/>
    <w:qFormat/>
    <w:uiPriority w:val="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4">
    <w:name w:val="Основной текст Знак"/>
    <w:basedOn w:val="2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15">
    <w:name w:val="List Paragraph"/>
    <w:basedOn w:val="1"/>
    <w:link w:val="16"/>
    <w:qFormat/>
    <w:uiPriority w:val="34"/>
    <w:pPr>
      <w:ind w:left="720"/>
      <w:contextualSpacing/>
    </w:pPr>
  </w:style>
  <w:style w:type="character" w:customStyle="1" w:styleId="16">
    <w:name w:val="Абзац списка Знак"/>
    <w:link w:val="15"/>
    <w:locked/>
    <w:uiPriority w:val="34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7">
    <w:name w:val="Основной текст с отступом Знак"/>
    <w:basedOn w:val="2"/>
    <w:link w:val="7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8">
    <w:name w:val="Table Paragraph"/>
    <w:basedOn w:val="1"/>
    <w:qFormat/>
    <w:uiPriority w:val="1"/>
    <w:pPr>
      <w:widowControl w:val="0"/>
      <w:autoSpaceDE w:val="0"/>
      <w:autoSpaceDN w:val="0"/>
      <w:spacing w:before="8" w:line="226" w:lineRule="exact"/>
      <w:jc w:val="right"/>
    </w:pPr>
    <w:rPr>
      <w:rFonts w:ascii="Microsoft Sans Serif" w:hAnsi="Microsoft Sans Serif" w:eastAsia="Microsoft Sans Serif" w:cs="Microsoft Sans Serif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6DB036C4-5347-4986-B9E7-9D379ABECC9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6097</Words>
  <Characters>34754</Characters>
  <Lines>289</Lines>
  <Paragraphs>81</Paragraphs>
  <TotalTime>3</TotalTime>
  <ScaleCrop>false</ScaleCrop>
  <LinksUpToDate>false</LinksUpToDate>
  <CharactersWithSpaces>40770</CharactersWithSpaces>
  <Application>WPS Office_12.2.0.13538_F1E327BC-269C-435d-A152-05C5408002CA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2023-04-19T13:06:00Z</dcterms:created>
  <dc:creator>Методист</dc:creator>
  <cp:lastModifiedBy>Татьяна Петрова</cp:lastModifiedBy>
  <cp:lastPrinted>2024-03-19T09:03:00Z</cp:lastPrinted>
  <dcterms:modified xsi:type="dcterms:W3CDTF">2024-03-22T13:14:59Z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1049-12.2.0.13538</vt:lpwstr>
  </property>
  <property fmtid="{D5CDD505-2E9C-101B-9397-08002B2CF9AE}" pid="3" name="ICV">
    <vt:lpwstr>96DA99642DC042498B72B32DE62BB608_12</vt:lpwstr>
  </property>
</Properties>
</file>