
<file path=[Content_Types].xml><?xml version="1.0" encoding="utf-8"?>
<Types xmlns="http://schemas.openxmlformats.org/package/2006/content-types">
  <Default Extension="xml" ContentType="application/xml"/>
  <Default Extension="rels" ContentType="application/vnd.openxmlformats-package.relationships+xml"/>
  <Override PartName="/word/fontTable.xml" ContentType="application/vnd.openxmlformats-officedocument.wordprocessingml.fontTable+xml"/>
  <Override PartName="/word/settings.xml" ContentType="application/vnd.openxmlformats-officedocument.wordprocessingml.settings+xml"/>
  <Override PartName="/word/webSettings.xml" ContentType="application/vnd.openxmlformats-officedocument.wordprocessingml.webSettings+xml"/>
  <Override PartName="/word/document.xml" ContentType="application/vnd.openxmlformats-officedocument.wordprocessingml.document.main+xml"/>
  <Override PartName="/word/endnotes.xml" ContentType="application/vnd.openxmlformats-officedocument.wordprocessingml.endnotes+xml"/>
  <Override PartName="/customXml/itemProps1.xml" ContentType="application/vnd.openxmlformats-officedocument.customXmlProperties+xml"/>
  <Override PartName="/word/styles.xml" ContentType="application/vnd.openxmlformats-officedocument.wordprocessingml.styles+xml"/>
  <Override PartName="/word/footnotes.xml" ContentType="application/vnd.openxmlformats-officedocument.wordprocessingml.footnote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ink="http://schemas.microsoft.com/office/drawing/2016/ink" xmlns:dgm="http://schemas.openxmlformats.org/drawingml/2006/diagram">
  <w:body>
    <w:p w14:paraId="00000005">
      <w:pPr>
        <w:jc w:val="center"/>
        <w:rPr/>
      </w:pPr>
      <w:r>
        <w:rPr>
          <w:b/>
        </w:rPr>
        <w:t xml:space="preserve">КОНТРАКТ № </w:t>
      </w:r>
      <w:r>
        <w:t>_______</w:t>
      </w:r>
    </w:p>
    <w:p w14:paraId="00000006">
      <w:pPr>
        <w:jc w:val="center"/>
        <w:rPr>
          <w:b/>
        </w:rPr>
      </w:pPr>
    </w:p>
    <w:p w14:paraId="00000007">
      <w:pPr>
        <w:jc w:val="both"/>
        <w:rPr/>
      </w:pPr>
      <w:r>
        <w:t xml:space="preserve">г. </w:t>
      </w:r>
      <w:r>
        <w:t xml:space="preserve">Санкт- Петербург                                                              </w:t>
      </w:r>
      <w:r>
        <w:t xml:space="preserve">             </w:t>
      </w:r>
      <w:r>
        <w:t xml:space="preserve">      </w:t>
      </w:r>
      <w:r>
        <w:t>от</w:t>
      </w:r>
      <w:r>
        <w:t xml:space="preserve"> «</w:t>
      </w:r>
      <w:r>
        <w:t>___</w:t>
      </w:r>
      <w:r>
        <w:t>»</w:t>
      </w:r>
      <w:r>
        <w:t>_____________</w:t>
      </w:r>
      <w:r>
        <w:t>г</w:t>
      </w:r>
      <w:r>
        <w:t>.</w:t>
      </w:r>
    </w:p>
    <w:p w14:paraId="00000008">
      <w:pPr>
        <w:jc w:val="both"/>
        <w:rPr/>
      </w:pPr>
    </w:p>
    <w:p w14:paraId="00000009">
      <w:pPr>
        <w:jc w:val="both"/>
        <w:rPr/>
      </w:pPr>
      <w:r>
        <w:t>_______________</w:t>
      </w:r>
      <w:r>
        <w:t xml:space="preserve">, </w:t>
      </w:r>
      <w:r>
        <w:t>именуемое в дальнейшем «Заказчик», в лице _______________, действующего на основании __________, с одной стороны и _________________, именуемое в дальнейшем «Поставщик» в лице ______________, действующего на основании _______________, с другой стороны, вместе именуемые «Стороны» и каждый в отдельности «Сторона»,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Контракт о нижеследующем:</w:t>
      </w:r>
    </w:p>
    <w:p w14:paraId="0000000A">
      <w:pPr>
        <w:jc w:val="both"/>
        <w:rPr/>
      </w:pPr>
    </w:p>
    <w:p w14:paraId="0000000B">
      <w:pPr>
        <w:jc w:val="center"/>
        <w:rPr>
          <w:b/>
        </w:rPr>
      </w:pPr>
      <w:r>
        <w:rPr>
          <w:b/>
        </w:rPr>
        <w:t>1. Предмет контракта</w:t>
      </w:r>
    </w:p>
    <w:p w14:paraId="0000000C">
      <w:pPr>
        <w:ind w:firstLine="708"/>
        <w:jc w:val="both"/>
        <w:rPr/>
      </w:pPr>
      <w:r>
        <w:t xml:space="preserve">1.1. Поставщик обязуется изготовить и передать Заказчику Товар, наименование, количество, общая и единичная стоимость которого установлены в Спецификации (приложение </w:t>
      </w:r>
      <w:r>
        <w:rPr/>
        <w:br w:type="textWrapping"/>
      </w:r>
      <w:r>
        <w:t>№ 1 к Контракту), являющейся неотъемлемой частью Контракта,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настоящим Контрактом.</w:t>
      </w:r>
    </w:p>
    <w:p w14:paraId="0000000D">
      <w:pPr>
        <w:jc w:val="both"/>
        <w:rPr/>
      </w:pPr>
      <w:r>
        <w:t xml:space="preserve">Идентификационный код закупки </w:t>
      </w:r>
      <w:r>
        <w:rPr>
          <w:lang w:val="en-US"/>
        </w:rPr>
        <w:t>_________________________</w:t>
      </w:r>
      <w:r>
        <w:t>.</w:t>
      </w:r>
    </w:p>
    <w:p w14:paraId="0000000E">
      <w:pPr>
        <w:jc w:val="both"/>
        <w:rPr/>
      </w:pPr>
    </w:p>
    <w:p w14:paraId="0000000F">
      <w:pPr>
        <w:jc w:val="center"/>
        <w:rPr>
          <w:b/>
        </w:rPr>
      </w:pPr>
      <w:r>
        <w:rPr>
          <w:b/>
        </w:rPr>
        <w:t>2. Цена Контракта и порядок расчетов</w:t>
      </w:r>
    </w:p>
    <w:p w14:paraId="00000010">
      <w:pPr>
        <w:ind w:firstLine="708"/>
        <w:jc w:val="both"/>
        <w:rPr/>
      </w:pPr>
      <w:r>
        <w:t xml:space="preserve">2.1. </w:t>
      </w:r>
      <w:r>
        <w:t>Цена контракта составляет ____ рублей ____копеек и определена в Спецификации (Приложение № 1 к Контракту), являющейся неотъемлемой частью Контракта.</w:t>
      </w:r>
    </w:p>
    <w:p w14:paraId="00000011">
      <w:pPr>
        <w:ind w:firstLine="708"/>
        <w:jc w:val="both"/>
        <w:rPr/>
      </w:pPr>
      <w:r>
        <w:t xml:space="preserve">Источник </w:t>
      </w:r>
      <w:r>
        <w:t>финансирования: _________________</w:t>
      </w:r>
    </w:p>
    <w:p w14:paraId="00000012">
      <w:pPr>
        <w:ind w:firstLine="708"/>
        <w:jc w:val="both"/>
        <w:rPr/>
      </w:pPr>
      <w:r>
        <w:t>2.2. Цена контракта является твердой и определяется на весь</w:t>
      </w:r>
      <w:r>
        <w:t xml:space="preserve">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14:paraId="00000013">
      <w:pPr>
        <w:ind w:firstLine="708"/>
        <w:jc w:val="both"/>
        <w:rPr/>
      </w:pPr>
      <w:r>
        <w:t xml:space="preserve">2.3. Оплата производится Заказчиком единовременным платежом на расчетный счет Поставщика, указанный в Контракте, по факту оказания услуг и дальнейшей поставки </w:t>
      </w:r>
      <w:r>
        <w:t xml:space="preserve">Заказчику </w:t>
      </w:r>
      <w:r>
        <w:t xml:space="preserve">Товара в течение </w:t>
      </w:r>
      <w:r>
        <w:t xml:space="preserve">10 </w:t>
      </w:r>
      <w:r>
        <w:t>(</w:t>
      </w:r>
      <w:r>
        <w:t>десяти</w:t>
      </w:r>
      <w:r>
        <w:t xml:space="preserve">) </w:t>
      </w:r>
      <w:r>
        <w:t xml:space="preserve">рабочих </w:t>
      </w:r>
      <w:r>
        <w:t xml:space="preserve">дней </w:t>
      </w:r>
      <w:r>
        <w:t>с даты подписания Заказчиком документа о приемке,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p>
    <w:p w14:paraId="00000014">
      <w:pPr>
        <w:ind w:firstLine="708"/>
        <w:jc w:val="both"/>
        <w:rPr/>
      </w:pPr>
      <w:r>
        <w:t xml:space="preserve">2.4.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w:t>
      </w:r>
      <w:r>
        <w:rPr/>
        <w:br w:type="textWrapping"/>
      </w:r>
      <w:r>
        <w:t>и сборах такие налоги, сборы и иные обязательные платежи подлежат уплате в бюджеты бюджетной системы Российской Федерации Заказчиком.</w:t>
      </w:r>
    </w:p>
    <w:p w14:paraId="00000015">
      <w:pPr>
        <w:jc w:val="both"/>
        <w:rPr/>
      </w:pPr>
    </w:p>
    <w:p w14:paraId="00000016">
      <w:pPr>
        <w:jc w:val="center"/>
        <w:rPr>
          <w:b/>
        </w:rPr>
      </w:pPr>
      <w:r>
        <w:rPr>
          <w:b/>
        </w:rPr>
        <w:t>3. Порядок поставки Товара</w:t>
      </w:r>
    </w:p>
    <w:p w14:paraId="00000017">
      <w:pPr>
        <w:ind w:firstLine="708"/>
        <w:jc w:val="both"/>
        <w:rPr/>
      </w:pPr>
      <w:r>
        <w:t xml:space="preserve">3.1 Требования к качеству Товара, комплектности, таре, упаковке, маркировке </w:t>
      </w:r>
      <w:r>
        <w:rPr/>
        <w:br w:type="textWrapping"/>
      </w:r>
      <w:r>
        <w:t xml:space="preserve">и иные требования содержатся в Техническом задании, являющемся неотъемлемой частью настоящего Контракта (Приложение № 2 к Контракту). </w:t>
      </w:r>
    </w:p>
    <w:p w14:paraId="00000018">
      <w:pPr>
        <w:ind w:firstLine="708"/>
        <w:jc w:val="both"/>
        <w:rPr/>
      </w:pPr>
      <w:r>
        <w:t>3.2. Поставка Товара осуществляется по адресу, указанному в Техническом задании (приложение № 2 к Контракту).</w:t>
      </w:r>
    </w:p>
    <w:p w14:paraId="00000019">
      <w:pPr>
        <w:ind w:firstLine="708"/>
        <w:jc w:val="both"/>
        <w:rPr/>
      </w:pPr>
      <w:r>
        <w:t>3.3. Товар должен иметь упаковку, предотвращающую его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14:paraId="0000001A">
      <w:pPr>
        <w:ind w:firstLine="708"/>
        <w:jc w:val="both"/>
        <w:rPr/>
      </w:pPr>
      <w:r>
        <w:t>3.4.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14:paraId="0000001B">
      <w:pPr>
        <w:ind w:firstLine="708"/>
        <w:jc w:val="both"/>
        <w:rPr/>
      </w:pPr>
      <w:r>
        <w:t xml:space="preserve">3.5. Срок поставки Товара указывается в Техническом задании (приложение </w:t>
      </w:r>
      <w:r>
        <w:rPr/>
        <w:br w:type="textWrapping"/>
      </w:r>
      <w:r>
        <w:t xml:space="preserve">№ 2 </w:t>
      </w:r>
      <w:r>
        <w:t>к</w:t>
      </w:r>
      <w:r>
        <w:t xml:space="preserve"> Контракту).</w:t>
      </w:r>
    </w:p>
    <w:p w14:paraId="0000001C">
      <w:pPr>
        <w:jc w:val="center"/>
        <w:rPr/>
      </w:pPr>
    </w:p>
    <w:p w14:paraId="0000001D">
      <w:pPr>
        <w:jc w:val="center"/>
        <w:rPr>
          <w:b/>
        </w:rPr>
      </w:pPr>
      <w:r>
        <w:rPr>
          <w:b/>
        </w:rPr>
        <w:t>4. Порядок приемки Товара</w:t>
      </w:r>
    </w:p>
    <w:p w14:paraId="0000001E">
      <w:pPr>
        <w:ind w:firstLine="708"/>
        <w:jc w:val="both"/>
        <w:rPr/>
      </w:pPr>
      <w:r>
        <w:t>4.1. Приемка Товара осуществляется Заказчиком и заключается в проверке предоставленного исполнения на соответствие требованиям Контракта в порядке, указанном в Техническом задании (приложение № 2 к Контракту). В случае соответствия поставленного Товара требованиям Контракта, составляется документ о приемке, указанный в Техническом задании (приложение № 2 к Контракту).</w:t>
      </w:r>
    </w:p>
    <w:p w14:paraId="0000001F">
      <w:pPr>
        <w:ind w:firstLine="708"/>
        <w:jc w:val="both"/>
        <w:rPr/>
      </w:pPr>
      <w:r>
        <w:t>4.2. Срок приемки указан в Техническом задании (приложение № 2 к Контракту).</w:t>
      </w:r>
    </w:p>
    <w:p w14:paraId="00000020">
      <w:pPr>
        <w:ind w:firstLine="708"/>
        <w:jc w:val="both"/>
        <w:rPr/>
      </w:pPr>
      <w:r>
        <w:t xml:space="preserve">4.3.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 будет считаться действительным. </w:t>
      </w:r>
    </w:p>
    <w:p w14:paraId="00000021">
      <w:pPr>
        <w:ind w:firstLine="708"/>
        <w:jc w:val="both"/>
        <w:rPr/>
      </w:pPr>
      <w:r>
        <w:t>4.4.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w:t>
      </w:r>
      <w:r>
        <w:t xml:space="preserve"> </w:t>
      </w:r>
      <w:r>
        <w:t xml:space="preserve">устранения недостатков в срок, указанный Заказчиком </w:t>
      </w:r>
      <w:r>
        <w:rPr/>
        <w:br w:type="textWrapping"/>
      </w:r>
      <w:r>
        <w:t>в уведомлении, последний отказывается от приемки и оплаты. Мотивированный отказ направляется Поставщику в письменной форме.</w:t>
      </w:r>
    </w:p>
    <w:p w14:paraId="00000022">
      <w:pPr>
        <w:ind w:firstLine="708"/>
        <w:jc w:val="both"/>
        <w:rPr/>
      </w:pPr>
      <w:r>
        <w:t>4.5. Претензии по скрытым недостаткам могут быть заявлены Заказчиком в течение срока полезного использования, гарантийного срока, срока годности (нужное почеркнуть).</w:t>
      </w:r>
    </w:p>
    <w:p w14:paraId="00000023">
      <w:pPr>
        <w:ind w:firstLine="708"/>
        <w:jc w:val="both"/>
        <w:rPr/>
      </w:pPr>
      <w:r>
        <w:t>4.6.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14:paraId="00000024">
      <w:pPr>
        <w:ind w:firstLine="708"/>
        <w:jc w:val="both"/>
        <w:rPr/>
      </w:pPr>
      <w:r>
        <w:t>4.7. Все расходы, связанные с устранением недостатков, несет Поставщик.</w:t>
      </w:r>
    </w:p>
    <w:p w14:paraId="00000025">
      <w:pPr>
        <w:jc w:val="both"/>
        <w:rPr/>
      </w:pPr>
    </w:p>
    <w:p w14:paraId="00000026">
      <w:pPr>
        <w:jc w:val="center"/>
        <w:rPr>
          <w:b/>
        </w:rPr>
      </w:pPr>
      <w:r>
        <w:rPr>
          <w:b/>
        </w:rPr>
        <w:t>5. Права и обязанности сторон</w:t>
      </w:r>
    </w:p>
    <w:p w14:paraId="00000027">
      <w:pPr>
        <w:ind w:firstLine="708"/>
        <w:jc w:val="both"/>
        <w:rPr/>
      </w:pPr>
      <w:r>
        <w:t>5.1. Заказчик вправе:</w:t>
      </w:r>
    </w:p>
    <w:p w14:paraId="00000028">
      <w:pPr>
        <w:ind w:firstLine="708"/>
        <w:jc w:val="both"/>
        <w:rPr/>
      </w:pPr>
      <w:r>
        <w:t>5.1.1.</w:t>
      </w:r>
      <w:r>
        <w:t xml:space="preserve">Требовать от Поставщика надлежащего исполнения обязательств </w:t>
      </w:r>
      <w:r>
        <w:rPr/>
        <w:br w:type="textWrapping"/>
      </w:r>
      <w:r>
        <w:t>в соответствии с Контрактом, а также требовать своевременного устранения выявленных недостатков.</w:t>
      </w:r>
    </w:p>
    <w:p w14:paraId="00000029">
      <w:pPr>
        <w:ind w:firstLine="708"/>
        <w:jc w:val="both"/>
        <w:rPr/>
      </w:pPr>
      <w:r>
        <w:t xml:space="preserve">5.1.2. </w:t>
      </w:r>
      <w:r>
        <w:t>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0000002A">
      <w:pPr>
        <w:ind w:firstLine="708"/>
        <w:jc w:val="both"/>
        <w:rPr/>
      </w:pPr>
      <w:r>
        <w:t>5.1.3. Запрашивать у Поставщика информацию о ходе исполнения обязательств по Контракту.</w:t>
      </w:r>
    </w:p>
    <w:p w14:paraId="0000002B">
      <w:pPr>
        <w:ind w:firstLine="708"/>
        <w:jc w:val="both"/>
        <w:rPr/>
      </w:pPr>
      <w:r>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14:paraId="0000002C">
      <w:pPr>
        <w:ind w:firstLine="708"/>
        <w:jc w:val="both"/>
        <w:rPr/>
      </w:pPr>
      <w:r>
        <w:t>5.1.5. Отказаться от приемки Товара в случаях, предусмотренных Контрактом.</w:t>
      </w:r>
    </w:p>
    <w:p w14:paraId="0000002D">
      <w:pPr>
        <w:ind w:firstLine="708"/>
        <w:jc w:val="both"/>
        <w:rPr/>
      </w:pPr>
      <w:r>
        <w:t>5.1.6. В одностороннем порядке отказаться от исполнения Контракта в соответствии с Законом о контрактной системе.</w:t>
      </w:r>
    </w:p>
    <w:p w14:paraId="0000002E">
      <w:pPr>
        <w:ind w:firstLine="708"/>
        <w:jc w:val="both"/>
        <w:rPr/>
      </w:pPr>
      <w:r>
        <w:t>5.2. Заказчик обязан:</w:t>
      </w:r>
    </w:p>
    <w:p w14:paraId="0000002F">
      <w:pPr>
        <w:ind w:firstLine="708"/>
        <w:jc w:val="both"/>
        <w:rPr/>
      </w:pPr>
      <w:r>
        <w:t>5.2.1. Своевременно принять поставленный Товар в соответствии с Контрактом, включая проведение экспертизы поставленного Товара.</w:t>
      </w:r>
    </w:p>
    <w:p w14:paraId="00000030">
      <w:pPr>
        <w:ind w:firstLine="708"/>
        <w:jc w:val="both"/>
        <w:rPr/>
      </w:pPr>
      <w:r>
        <w:t xml:space="preserve">5.2.2. Своевременно оплатить поставленный Товар надлежащего качества </w:t>
      </w:r>
      <w:r>
        <w:rPr/>
        <w:br w:type="textWrapping"/>
      </w:r>
      <w:r>
        <w:t>в соответствии с Контрактом.</w:t>
      </w:r>
    </w:p>
    <w:p w14:paraId="00000031">
      <w:pPr>
        <w:ind w:firstLine="708"/>
        <w:jc w:val="both"/>
        <w:rPr/>
      </w:pPr>
      <w:r>
        <w:t>5.3. Поставщик вправе:</w:t>
      </w:r>
    </w:p>
    <w:p w14:paraId="00000032">
      <w:pPr>
        <w:ind w:firstLine="708"/>
        <w:jc w:val="both"/>
        <w:rPr/>
      </w:pPr>
      <w:r>
        <w:t xml:space="preserve">5.3.1. Требовать своевременной приемки и оплаты за поставленный Товар </w:t>
      </w:r>
      <w:r>
        <w:rPr/>
        <w:br w:type="textWrapping"/>
      </w:r>
      <w:r>
        <w:t>в соответствии с условиями Контракта.</w:t>
      </w:r>
    </w:p>
    <w:p w14:paraId="00000033">
      <w:pPr>
        <w:ind w:firstLine="708"/>
        <w:jc w:val="both"/>
        <w:rPr/>
      </w:pPr>
      <w:r>
        <w:t xml:space="preserve">5.3.2. Запрашивать у Заказчика разъяснения и уточнения относительно Товара </w:t>
      </w:r>
      <w:r>
        <w:rPr/>
        <w:br w:type="textWrapping"/>
      </w:r>
      <w:r>
        <w:t>в рамках Контракта.</w:t>
      </w:r>
    </w:p>
    <w:p w14:paraId="00000034">
      <w:pPr>
        <w:ind w:firstLine="708"/>
        <w:jc w:val="both"/>
        <w:rPr/>
      </w:pPr>
      <w:r>
        <w:t xml:space="preserve">5.3.3. Получать от Заказчика содействие при поставке Товара в соответствии </w:t>
      </w:r>
      <w:r>
        <w:rPr/>
        <w:br w:type="textWrapping"/>
      </w:r>
      <w:r>
        <w:t>с условиями Контракта.</w:t>
      </w:r>
    </w:p>
    <w:p w14:paraId="00000035">
      <w:pPr>
        <w:ind w:firstLine="708"/>
        <w:jc w:val="both"/>
        <w:rPr/>
      </w:pPr>
      <w:r>
        <w:t>5.3.4. Досрочно исполнить обязательства по Контракту с согласия Заказчика.</w:t>
      </w:r>
    </w:p>
    <w:p w14:paraId="00000036">
      <w:pPr>
        <w:ind w:firstLine="708"/>
        <w:jc w:val="both"/>
        <w:rPr/>
      </w:pPr>
      <w:r>
        <w:t>5.4. Поставщик обязан:</w:t>
      </w:r>
    </w:p>
    <w:p w14:paraId="00000037">
      <w:pPr>
        <w:ind w:firstLine="708"/>
        <w:jc w:val="both"/>
        <w:rPr/>
      </w:pPr>
      <w:r>
        <w:t>5.4.1. Своевременно и надлежащим образом исполнять обязательства по поставке Товара в соответствии с условиями Контракта.</w:t>
      </w:r>
    </w:p>
    <w:p w14:paraId="00000038">
      <w:pPr>
        <w:ind w:firstLine="708"/>
        <w:jc w:val="both"/>
        <w:rPr/>
      </w:pPr>
      <w:r>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14:paraId="00000039">
      <w:pPr>
        <w:ind w:firstLine="708"/>
        <w:jc w:val="both"/>
        <w:rPr/>
      </w:pPr>
      <w:r>
        <w:t>5.4.3. Обеспечить устранение недостатков, выявленных при приемке Заказчиком Товара и в течение гарантийного срока, за свой счет.</w:t>
      </w:r>
    </w:p>
    <w:p w14:paraId="0000003A">
      <w:pPr>
        <w:ind w:firstLine="708"/>
        <w:jc w:val="both"/>
        <w:rPr/>
      </w:pPr>
      <w:r>
        <w:t>5.4.4. Приостановить поставку Товара в случае обнаружения не</w:t>
      </w:r>
      <w:r>
        <w:t xml:space="preserve"> </w:t>
      </w:r>
      <w:r>
        <w:t xml:space="preserve">зависящих </w:t>
      </w:r>
      <w:r>
        <w:rPr/>
        <w:br w:type="textWrapping"/>
      </w:r>
      <w:r>
        <w:t xml:space="preserve">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w:t>
      </w:r>
      <w:r>
        <w:rPr/>
        <w:br w:type="textWrapping"/>
      </w:r>
      <w:r>
        <w:t>и сообщить об этом Заказчику в течение одного рабочего дня после приостановления поставки.</w:t>
      </w:r>
    </w:p>
    <w:p w14:paraId="0000003B">
      <w:pPr>
        <w:ind w:firstLine="708"/>
        <w:jc w:val="both"/>
        <w:rPr/>
      </w:pPr>
      <w:r>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0000003C">
      <w:pPr>
        <w:ind w:firstLine="708"/>
        <w:jc w:val="both"/>
        <w:rPr/>
      </w:pPr>
      <w:r>
        <w:t>5.5. Поставщик гарантирует, что на момент заключения Контракта:</w:t>
      </w:r>
    </w:p>
    <w:p w14:paraId="0000003D">
      <w:pPr>
        <w:ind w:firstLine="708"/>
        <w:jc w:val="both"/>
        <w:rPr/>
      </w:pPr>
      <w:r>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w:t>
      </w:r>
      <w:r>
        <w:rPr/>
        <w:br w:type="textWrapping"/>
      </w:r>
      <w:r>
        <w:t xml:space="preserve">в бюджеты бюджетной системы Российской Федерации за прошедший </w:t>
      </w:r>
      <w:r>
        <w:t>календарный</w:t>
      </w:r>
      <w:r>
        <w:t xml:space="preserve"> год </w:t>
      </w:r>
      <w:r>
        <w:rPr/>
        <w:br w:type="textWrapping"/>
      </w:r>
      <w:r>
        <w:t>не превышает 25% балансовой стоимости активов по данным бухгалтерской (бюджетной) отчетности за последний отчетный период.</w:t>
      </w:r>
    </w:p>
    <w:p w14:paraId="0000003E">
      <w:pPr>
        <w:ind w:firstLine="708"/>
        <w:jc w:val="both"/>
        <w:rPr/>
      </w:pPr>
      <w:r>
        <w:t>5.5.2. Не обременен обязательствами имущественного характера, способными помешать исполнению обязательств по Контракту.</w:t>
      </w:r>
    </w:p>
    <w:p w14:paraId="0000003F">
      <w:pPr>
        <w:ind w:firstLine="708"/>
        <w:jc w:val="both"/>
        <w:rPr/>
      </w:pPr>
      <w:r>
        <w:t xml:space="preserve">5.5.3. За последние два года не нарушал контрактных (договорных) обязательств </w:t>
      </w:r>
      <w:r>
        <w:rPr/>
        <w:br w:type="textWrapping"/>
      </w:r>
      <w:r>
        <w:t>и не причинял ущерба (либо погасил причиненный ущерб) по аналогичным контрактам (договорам).</w:t>
      </w:r>
    </w:p>
    <w:p w14:paraId="00000040">
      <w:pPr>
        <w:ind w:firstLine="708"/>
        <w:jc w:val="both"/>
        <w:rPr/>
      </w:pPr>
      <w:r>
        <w:t xml:space="preserve">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w:t>
      </w:r>
      <w:r>
        <w:rPr/>
        <w:br w:type="textWrapping"/>
      </w:r>
      <w:r>
        <w:t>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00000041">
      <w:pPr>
        <w:ind w:firstLine="708"/>
        <w:jc w:val="both"/>
        <w:rPr/>
      </w:pPr>
      <w:r>
        <w:t>5.5.5 Отсутствует между Поставщиком и Заказчиком конфликт интересов, под которым понимаются случаи, установленные пунктом 7 части 1 статьи 31 Закона о контрактной системе.</w:t>
      </w:r>
    </w:p>
    <w:p w14:paraId="00000042">
      <w:pPr>
        <w:ind w:firstLine="708"/>
        <w:jc w:val="both"/>
        <w:rPr/>
      </w:pPr>
      <w:r>
        <w:t>5.5.6.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00000043">
      <w:pPr>
        <w:ind w:firstLine="708"/>
        <w:jc w:val="both"/>
        <w:rPr/>
      </w:pPr>
      <w:r>
        <w:t xml:space="preserve">5.5.7. </w:t>
      </w:r>
      <w:r>
        <w:rPr>
          <w:rFonts w:eastAsiaTheme="minorHAnsi"/>
          <w:lang w:eastAsia="en-US"/>
        </w:rPr>
        <w:t>Поставщик не является иностранным агентом.</w:t>
      </w:r>
    </w:p>
    <w:p w14:paraId="00000044">
      <w:pPr>
        <w:ind w:firstLine="708"/>
        <w:jc w:val="both"/>
        <w:rPr/>
      </w:pPr>
      <w:r>
        <w:t xml:space="preserve">5.5.8. </w:t>
      </w:r>
      <w:r>
        <w:t>У Поставщика отсутствуют ограничения для участия в закупках, установленных законодательством Российской Федерации.</w:t>
      </w:r>
    </w:p>
    <w:p w14:paraId="00000045">
      <w:pPr>
        <w:ind w:firstLine="708"/>
        <w:jc w:val="both"/>
        <w:rPr/>
      </w:pPr>
    </w:p>
    <w:p w14:paraId="00000046">
      <w:pPr>
        <w:jc w:val="center"/>
        <w:rPr>
          <w:b/>
        </w:rPr>
      </w:pPr>
      <w:r>
        <w:rPr>
          <w:b/>
        </w:rPr>
        <w:t>6. Гарантии</w:t>
      </w:r>
    </w:p>
    <w:p w14:paraId="00000047">
      <w:pPr>
        <w:ind w:firstLine="708"/>
        <w:jc w:val="both"/>
        <w:rPr/>
      </w:pPr>
      <w:r>
        <w:t>6.1.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Срок гарантии установлен в Техническом задании (приложение № 2 к Контракту). Гарантийный срок исчисляется с момента подписания Заказчиком документа о приемке Товара.</w:t>
      </w:r>
    </w:p>
    <w:p w14:paraId="00000048">
      <w:pPr>
        <w:ind w:firstLine="708"/>
        <w:jc w:val="both"/>
        <w:rPr/>
      </w:pPr>
      <w:r>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14:paraId="00000049">
      <w:pPr>
        <w:ind w:firstLine="708"/>
        <w:jc w:val="both"/>
        <w:rPr/>
      </w:pPr>
      <w:r>
        <w:t>6.3.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14:paraId="0000004A">
      <w:pPr>
        <w:ind w:firstLine="708"/>
        <w:jc w:val="both"/>
        <w:rPr/>
      </w:pPr>
      <w:r>
        <w:t>6.4. Все расходы, связанные с заменой Товара</w:t>
      </w:r>
      <w:r>
        <w:t>,</w:t>
      </w:r>
      <w:r>
        <w:t xml:space="preserve"> ненадлежащего качества, осуществляются за счет Поставщика.</w:t>
      </w:r>
    </w:p>
    <w:p w14:paraId="0000004B">
      <w:pPr>
        <w:jc w:val="center"/>
        <w:rPr>
          <w:b/>
        </w:rPr>
      </w:pPr>
    </w:p>
    <w:p w14:paraId="0000004C">
      <w:pPr>
        <w:jc w:val="center"/>
        <w:rPr>
          <w:b/>
        </w:rPr>
      </w:pPr>
      <w:r>
        <w:rPr>
          <w:b/>
        </w:rPr>
        <w:t>7. Ответственность сторон</w:t>
      </w:r>
    </w:p>
    <w:p w14:paraId="0000004D">
      <w:pPr>
        <w:ind w:firstLine="708"/>
        <w:jc w:val="both"/>
        <w:rPr/>
      </w:pPr>
      <w:r>
        <w:t xml:space="preserve">7.1. </w:t>
      </w:r>
      <w:r>
        <w:t>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r>
        <w:t xml:space="preserve"> </w:t>
      </w:r>
    </w:p>
    <w:p w14:paraId="0000004E">
      <w:pPr>
        <w:ind w:firstLine="708"/>
        <w:jc w:val="both"/>
        <w:rPr/>
      </w:pPr>
      <w:r>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14:paraId="0000004F">
      <w:pPr>
        <w:ind w:firstLine="708"/>
        <w:jc w:val="both"/>
        <w:rPr/>
      </w:pPr>
      <w:r>
        <w:t>7.2. Пени</w:t>
      </w:r>
      <w:r>
        <w:t xml:space="preserve">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00000050">
      <w:pPr>
        <w:ind w:firstLine="708"/>
        <w:jc w:val="both"/>
        <w:rPr/>
      </w:pPr>
      <w: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14:paraId="00000051">
      <w:pPr>
        <w:ind w:firstLine="708"/>
        <w:jc w:val="both"/>
        <w:rPr/>
      </w:pPr>
      <w:r>
        <w:t>7.3. Пени начисляю</w:t>
      </w:r>
      <w:r>
        <w:t xml:space="preserve">тся за каждый день просрочки исполнения Поставщиком обязательства, предусмотренного Контрактом, в размере 1/300 (одной трехсотой) </w:t>
      </w:r>
      <w:r>
        <w:t>действующей на дату уплаты пеней</w:t>
      </w:r>
      <w:r>
        <w:t xml:space="preserve"> ключевой ставки Центрального банка РФ от цены </w:t>
      </w:r>
      <w:r>
        <w:t>Контракта, уменьшенной на сумму, пропорциональную объему обязательств, предусмотренных Контрактом, и фактически исполненных Поставщиком.</w:t>
      </w:r>
    </w:p>
    <w:p w14:paraId="00000052">
      <w:pPr>
        <w:ind w:firstLine="708"/>
        <w:jc w:val="both"/>
        <w:rPr/>
      </w:pPr>
      <w:r>
        <w:t xml:space="preserve">За каждый факт неисполнения или ненадлежащего исполнения Поставщиком обязательств, </w:t>
      </w:r>
      <w:r>
        <w:t>предусмотренных Контрактом, за исключением просрочки исполнения обязательств</w:t>
      </w:r>
      <w:r>
        <w:t xml:space="preserve"> </w:t>
      </w:r>
      <w:r>
        <w:rPr>
          <w:rFonts w:eastAsiaTheme="minorHAnsi"/>
          <w:lang w:eastAsia="en-US"/>
        </w:rPr>
        <w:t>(в том числе гарантийного обязательства)</w:t>
      </w:r>
      <w:r>
        <w:t>,</w:t>
      </w:r>
      <w:r>
        <w:t xml:space="preserve"> предусмотренных Контрактом, размер штрафа устанавливается в виде фиксированной суммы в размере 10</w:t>
      </w:r>
      <w:r>
        <w:t xml:space="preserve"> </w:t>
      </w:r>
      <w:r>
        <w:t xml:space="preserve">% цены контракта и составляет </w:t>
      </w:r>
      <w:r>
        <w:t>__________</w:t>
      </w:r>
      <w:r>
        <w:t xml:space="preserve"> рублей </w:t>
      </w:r>
      <w:r>
        <w:t>__________</w:t>
      </w:r>
      <w:r>
        <w:t xml:space="preserve"> копеек</w:t>
      </w:r>
      <w:r>
        <w:t xml:space="preserve"> </w:t>
      </w:r>
      <w:r>
        <w:t>(_______</w:t>
      </w:r>
      <w:r>
        <w:t>)</w:t>
      </w:r>
      <w:r>
        <w:t>.</w:t>
      </w:r>
    </w:p>
    <w:p w14:paraId="00000053">
      <w:pPr>
        <w:ind w:firstLine="708"/>
        <w:jc w:val="both"/>
        <w:rPr/>
      </w:pPr>
      <w: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14:paraId="00000054">
      <w:pPr>
        <w:ind w:firstLine="708"/>
        <w:jc w:val="both"/>
        <w:rPr/>
      </w:pPr>
      <w:r>
        <w:t>7.4. Общая сумма начисленной неустойки (штра</w:t>
      </w:r>
      <w:r>
        <w:t>фов, пеней</w:t>
      </w:r>
      <w:r>
        <w:t xml:space="preserve">) за неисполнение или ненадлежащее исполнение Поставщиком обязательств, предусмотренных Контрактом, </w:t>
      </w:r>
      <w:r>
        <w:rPr/>
        <w:br w:type="textWrapping"/>
      </w:r>
      <w:r>
        <w:t>не может превышать цену Контракта.</w:t>
      </w:r>
    </w:p>
    <w:p w14:paraId="00000055">
      <w:pPr>
        <w:ind w:firstLine="708"/>
        <w:jc w:val="both"/>
        <w:rPr/>
      </w:pPr>
      <w:r>
        <w:t>Общая сумм</w:t>
      </w:r>
      <w:r>
        <w:t>а начисленной неустойки (штрафов, пеней</w:t>
      </w:r>
      <w:r>
        <w:t>) за ненадлежащее исполнение Заказчиком обязательств, предусмотренных Контрактом, не может превышать цену Контракта.</w:t>
      </w:r>
    </w:p>
    <w:p w14:paraId="00000056">
      <w:pPr>
        <w:ind w:firstLine="708"/>
        <w:jc w:val="both"/>
        <w:rPr/>
      </w:pPr>
      <w:r>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14:paraId="00000057">
      <w:pPr>
        <w:ind w:firstLine="708"/>
        <w:jc w:val="both"/>
        <w:rPr/>
      </w:pPr>
      <w:r>
        <w:t xml:space="preserve">7.6. </w:t>
      </w:r>
      <w:r>
        <w:t>Сторона</w:t>
      </w:r>
      <w:r>
        <w:t xml:space="preserve"> освобожда</w:t>
      </w:r>
      <w:r>
        <w:t>ется от уплаты неустойки (штрафов</w:t>
      </w:r>
      <w:r>
        <w:t>,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w:t>
      </w:r>
      <w:r>
        <w:t xml:space="preserve"> </w:t>
      </w:r>
    </w:p>
    <w:p w14:paraId="00000058">
      <w:pPr>
        <w:ind w:firstLine="708"/>
        <w:jc w:val="both"/>
        <w:rPr/>
      </w:pPr>
    </w:p>
    <w:p w14:paraId="00000059">
      <w:pPr>
        <w:jc w:val="center"/>
        <w:rPr>
          <w:b/>
        </w:rPr>
      </w:pPr>
      <w:r>
        <w:rPr>
          <w:b/>
        </w:rPr>
        <w:t>8. Срок действия, порядок изменения и расторжения Контракта.</w:t>
      </w:r>
    </w:p>
    <w:p w14:paraId="0000005A">
      <w:pPr>
        <w:ind w:firstLine="708"/>
        <w:jc w:val="both"/>
        <w:rPr/>
      </w:pPr>
      <w:r>
        <w:t>8.1. Контракт вступает в силу со дня его подписания Сторонами.</w:t>
      </w:r>
    </w:p>
    <w:p w14:paraId="0000005B">
      <w:pPr>
        <w:ind w:firstLine="708"/>
        <w:jc w:val="both"/>
        <w:rPr/>
      </w:pPr>
      <w:r>
        <w:t>8.2. Контракт действует по</w:t>
      </w:r>
      <w:r>
        <w:t xml:space="preserve"> </w:t>
      </w:r>
      <w:r>
        <w:t>_____________</w:t>
      </w:r>
      <w:r>
        <w:t xml:space="preserve">, но в любом случае до полного исполнения Сторонами обязательств по Контракту в полном объеме, в том числе и гарантийных обязательств. </w:t>
      </w:r>
    </w:p>
    <w:p w14:paraId="0000005C">
      <w:pPr>
        <w:ind w:firstLine="708"/>
        <w:jc w:val="both"/>
        <w:rPr/>
      </w:pPr>
      <w:r>
        <w:t>8.3. Контракт может быть расторгнут:</w:t>
      </w:r>
    </w:p>
    <w:p w14:paraId="0000005D">
      <w:pPr>
        <w:jc w:val="both"/>
        <w:rPr/>
      </w:pPr>
      <w:r>
        <w:t>- по соглашению сторон;</w:t>
      </w:r>
    </w:p>
    <w:p w14:paraId="0000005E">
      <w:pPr>
        <w:jc w:val="both"/>
        <w:rPr/>
      </w:pPr>
      <w:r>
        <w:t>- по решению суда;</w:t>
      </w:r>
    </w:p>
    <w:p w14:paraId="0000005F">
      <w:pPr>
        <w:jc w:val="both"/>
        <w:rPr/>
      </w:pPr>
      <w:r>
        <w:t xml:space="preserve">- в случае одностороннего отказа Стороны Контракта от исполнения Контракта </w:t>
      </w:r>
      <w:r>
        <w:rPr/>
        <w:br w:type="textWrapping"/>
      </w:r>
      <w:r>
        <w:t>в соответствии с гражданским законодательством.</w:t>
      </w:r>
    </w:p>
    <w:p w14:paraId="00000060">
      <w:pPr>
        <w:ind w:firstLine="708"/>
        <w:jc w:val="both"/>
        <w:rPr/>
      </w:pPr>
      <w:r>
        <w:t xml:space="preserve">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w:t>
      </w:r>
      <w:r>
        <w:t>отказа от исполнения договора купли-продажи и отдельны</w:t>
      </w:r>
      <w:r>
        <w:t>х видов договоров купли-продажи, и в соответствии с положениями статьи 95 Закона о контрактной системе.</w:t>
      </w:r>
    </w:p>
    <w:p w14:paraId="00000061">
      <w:pPr>
        <w:ind w:firstLine="708"/>
        <w:jc w:val="both"/>
        <w:rPr/>
      </w:pPr>
      <w:r>
        <w:t>8.5. Односторонний отказ от исполнения Контракта должен происходить в порядке, предусмотренном Законом о контрактной системе.</w:t>
      </w:r>
    </w:p>
    <w:p w14:paraId="00000062">
      <w:pPr>
        <w:ind w:firstLine="708"/>
        <w:jc w:val="both"/>
        <w:rPr/>
      </w:pPr>
      <w:r>
        <w:t>8.6.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экспертных организаций, выбор которых осуществляется в соответствии с Законом о контрактной системе.</w:t>
      </w:r>
    </w:p>
    <w:p w14:paraId="00000063">
      <w:pPr>
        <w:ind w:firstLine="709"/>
        <w:jc w:val="both"/>
        <w:rPr>
          <w:rFonts w:eastAsia="Calibri"/>
        </w:rPr>
      </w:pPr>
      <w:r>
        <w:rPr>
          <w:color w:val="000000"/>
        </w:rPr>
        <w:t>8.7. В случае принятия Заказчиком решения об одностороннем отказе от исполнения Контракта</w:t>
      </w:r>
      <w:r>
        <w:rPr>
          <w:rFonts w:eastAsia="Calibri"/>
        </w:rPr>
        <w:t xml:space="preserve"> такое решение передается лицу, имеющему право действовать от имени Поставщика, лично под расписку или направляется Поставщику по адресу Поставщика, </w:t>
      </w:r>
      <w:r>
        <w:rPr>
          <w:rFonts w:eastAsia="Calibri"/>
        </w:rPr>
        <w:t>указанному в контракте.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14:paraId="00000064">
      <w:pPr>
        <w:ind w:firstLine="709"/>
        <w:jc w:val="both"/>
        <w:rPr>
          <w:rFonts w:eastAsia="Calibri"/>
        </w:rPr>
      </w:pPr>
      <w:r>
        <w:rPr>
          <w:rFonts w:eastAsia="Calibri"/>
        </w:rP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14:paraId="00000065">
      <w:pPr>
        <w:ind w:firstLine="709"/>
        <w:jc w:val="both"/>
        <w:rPr>
          <w:rFonts w:eastAsia="Calibri"/>
        </w:rPr>
      </w:pPr>
      <w:r>
        <w:rPr>
          <w:rFonts w:eastAsia="Calibri"/>
        </w:rPr>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00000066">
      <w:pPr>
        <w:ind w:firstLine="709"/>
        <w:jc w:val="both"/>
        <w:rPr>
          <w:rFonts w:eastAsia="Calibri"/>
        </w:rPr>
      </w:pPr>
      <w:r>
        <w:rPr>
          <w:rFonts w:eastAsia="Calibri"/>
        </w:rPr>
        <w:t>8.8.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00000067">
      <w:pPr>
        <w:ind w:firstLine="709"/>
        <w:jc w:val="both"/>
        <w:rPr>
          <w:rFonts w:eastAsia="Calibri"/>
        </w:rPr>
      </w:pPr>
      <w:r>
        <w:rPr>
          <w:rFonts w:eastAsia="Calibri"/>
        </w:rPr>
        <w:t>8.9.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8.6 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00000068">
      <w:pPr>
        <w:ind w:firstLine="709"/>
        <w:jc w:val="both"/>
        <w:rPr>
          <w:rFonts w:eastAsia="Calibri"/>
        </w:rPr>
      </w:pPr>
      <w:r>
        <w:rPr>
          <w:rFonts w:eastAsia="Calibri"/>
        </w:rPr>
        <w:t>8.10. 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
    <w:p w14:paraId="00000069">
      <w:pPr>
        <w:ind w:firstLine="709"/>
        <w:jc w:val="both"/>
        <w:rPr>
          <w:rFonts w:eastAsia="Calibri"/>
        </w:rPr>
      </w:pPr>
      <w:r>
        <w:rPr>
          <w:rFonts w:eastAsia="Calibri"/>
        </w:rPr>
        <w:t xml:space="preserve">8.11.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Pr>
          <w:rFonts w:eastAsia="Calibri"/>
          <w:color w:val="000000"/>
        </w:rPr>
        <w:t>пунктом 1 части 10 статьи 104</w:t>
      </w:r>
      <w:r>
        <w:rPr>
          <w:rFonts w:eastAsia="Calibri"/>
        </w:rP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0000006A">
      <w:pPr>
        <w:ind w:firstLine="709"/>
        <w:jc w:val="both"/>
        <w:rPr>
          <w:rFonts w:eastAsia="Calibri"/>
        </w:rPr>
      </w:pPr>
      <w:r>
        <w:rPr>
          <w:rFonts w:eastAsia="Calibri"/>
        </w:rPr>
        <w:t>8.12.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0000006B">
      <w:pPr>
        <w:ind w:firstLine="709"/>
        <w:jc w:val="both"/>
        <w:rPr>
          <w:rFonts w:eastAsia="Calibri"/>
        </w:rPr>
      </w:pPr>
      <w:r>
        <w:rPr>
          <w:rFonts w:eastAsia="Calibri"/>
        </w:rPr>
        <w:t>8.13.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Поставщиком данного требования считается надлежащим уведомлением заказчика об одностороннем отказе от исполнения контракта. Датой такого надлежащего уведомления считается:</w:t>
      </w:r>
    </w:p>
    <w:p w14:paraId="0000006C">
      <w:pPr>
        <w:ind w:firstLine="709"/>
        <w:jc w:val="both"/>
        <w:rPr>
          <w:rFonts w:eastAsia="Calibri"/>
        </w:rPr>
      </w:pPr>
      <w:r>
        <w:rPr>
          <w:rFonts w:eastAsia="Calibri"/>
        </w:rP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0000006D">
      <w:pPr>
        <w:ind w:firstLine="709"/>
        <w:jc w:val="both"/>
        <w:rPr>
          <w:rFonts w:eastAsia="Calibri"/>
        </w:rPr>
      </w:pPr>
      <w:r>
        <w:rPr>
          <w:rFonts w:eastAsia="Calibri"/>
        </w:rPr>
        <w:t xml:space="preserve">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w:t>
      </w:r>
      <w:r>
        <w:rPr>
          <w:rFonts w:eastAsia="Calibri"/>
        </w:rPr>
        <w:t>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0000006E">
      <w:pPr>
        <w:ind w:firstLine="709"/>
        <w:jc w:val="both"/>
        <w:rPr>
          <w:rFonts w:eastAsia="Calibri"/>
        </w:rPr>
      </w:pPr>
      <w:r>
        <w:rPr>
          <w:rFonts w:eastAsia="Calibri"/>
        </w:rPr>
        <w:t>8.14.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14:paraId="0000006F">
      <w:pPr>
        <w:ind w:firstLine="709"/>
        <w:jc w:val="both"/>
        <w:rPr>
          <w:rFonts w:eastAsia="Calibri"/>
        </w:rPr>
      </w:pPr>
      <w:r>
        <w:rPr>
          <w:rFonts w:eastAsia="Calibri"/>
        </w:rPr>
        <w:t>8.15.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00000070">
      <w:pPr>
        <w:ind w:firstLine="709"/>
        <w:jc w:val="both"/>
        <w:rPr>
          <w:rFonts w:eastAsia="Calibri"/>
        </w:rPr>
      </w:pPr>
      <w:r>
        <w:rPr>
          <w:rFonts w:eastAsia="Calibri"/>
        </w:rPr>
        <w:t>8.16.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00000071">
      <w:pPr>
        <w:ind w:firstLine="708"/>
        <w:jc w:val="both"/>
        <w:rPr/>
      </w:pPr>
      <w:r>
        <w:t>8.17. При исполнении Контракта по соглашению сторон могут быть внесены изменения в контракт только в случаях, предусмотренных Законом</w:t>
      </w:r>
      <w:r>
        <w:t xml:space="preserve"> о контрактной системе.</w:t>
      </w:r>
    </w:p>
    <w:p w14:paraId="00000072">
      <w:pPr>
        <w:jc w:val="center"/>
        <w:rPr>
          <w:b/>
        </w:rPr>
      </w:pPr>
    </w:p>
    <w:p w14:paraId="00000073">
      <w:pPr>
        <w:jc w:val="center"/>
        <w:rPr>
          <w:b/>
        </w:rPr>
      </w:pPr>
      <w:r>
        <w:rPr>
          <w:b/>
        </w:rPr>
        <w:t>9. Порядок урегулирования споров</w:t>
      </w:r>
    </w:p>
    <w:p w14:paraId="00000074">
      <w:pPr>
        <w:ind w:firstLine="708"/>
        <w:jc w:val="both"/>
        <w:rPr/>
      </w:pPr>
      <w:r>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14:paraId="00000075">
      <w:pPr>
        <w:ind w:firstLine="708"/>
        <w:jc w:val="both"/>
        <w:rPr/>
      </w:pPr>
      <w:r>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14:paraId="00000076">
      <w:pPr>
        <w:ind w:firstLine="708"/>
        <w:jc w:val="both"/>
        <w:rPr/>
      </w:pPr>
      <w:r>
        <w:t>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14:paraId="00000077">
      <w:pPr>
        <w:jc w:val="center"/>
        <w:rPr>
          <w:b/>
        </w:rPr>
      </w:pPr>
    </w:p>
    <w:p w14:paraId="00000078">
      <w:pPr>
        <w:jc w:val="center"/>
        <w:rPr>
          <w:b/>
        </w:rPr>
      </w:pPr>
      <w:r>
        <w:rPr>
          <w:b/>
        </w:rPr>
        <w:t>10. Прочие условия</w:t>
      </w:r>
    </w:p>
    <w:p w14:paraId="00000079">
      <w:pPr>
        <w:widowControl w:val="off"/>
        <w:ind w:firstLine="709"/>
        <w:jc w:val="both"/>
        <w:rPr/>
      </w:pPr>
      <w:r>
        <w:t>10.1 Любое уведомление, которое одна Сторона направляет другой Стороне в соответствии с Контрактом, высылается в электронном виде, за исключением случаев, предусмотренных пунктами 8.7, 8.10, 8.13, или на бумажном носителе по адресу другой Стороны с подтверждением о получении.</w:t>
      </w:r>
    </w:p>
    <w:p w14:paraId="0000007A">
      <w:pPr>
        <w:ind w:firstLine="708"/>
        <w:jc w:val="both"/>
        <w:rPr/>
      </w:pPr>
      <w:r>
        <w:t>10.2. Во всем, что не предусмотрено Контрактом</w:t>
      </w:r>
      <w:r>
        <w:t>, Стороны руководствуются законодательством Российской Федерации.</w:t>
      </w:r>
    </w:p>
    <w:p w14:paraId="0000007B">
      <w:pPr>
        <w:ind w:firstLine="708"/>
        <w:jc w:val="both"/>
        <w:rPr/>
      </w:pPr>
    </w:p>
    <w:p w14:paraId="0000007C">
      <w:pPr>
        <w:jc w:val="center"/>
        <w:rPr>
          <w:b/>
        </w:rPr>
      </w:pPr>
      <w:r>
        <w:rPr>
          <w:b/>
        </w:rPr>
        <w:t>11. Приложения</w:t>
      </w:r>
    </w:p>
    <w:p w14:paraId="0000007D">
      <w:pPr>
        <w:ind w:firstLine="708"/>
        <w:jc w:val="both"/>
        <w:rPr/>
      </w:pPr>
      <w:r>
        <w:t>11.1 Неотъемлемой частью Контракта являются:</w:t>
      </w:r>
    </w:p>
    <w:p w14:paraId="0000007E">
      <w:pPr>
        <w:ind w:left="708" w:firstLine="708"/>
        <w:rPr/>
      </w:pPr>
      <w:r>
        <w:t>Приложение № 1 «Спецификация»;</w:t>
      </w:r>
    </w:p>
    <w:p w14:paraId="0000007F">
      <w:pPr>
        <w:ind w:left="708" w:firstLine="708"/>
        <w:rPr/>
      </w:pPr>
      <w:r>
        <w:t>Приложение № 2 «Техническое задание»</w:t>
      </w:r>
    </w:p>
    <w:p w14:paraId="00000080">
      <w:pPr>
        <w:ind w:left="708" w:firstLine="708"/>
        <w:rPr/>
      </w:pPr>
    </w:p>
    <w:p w14:paraId="00000081">
      <w:pPr>
        <w:ind w:left="708" w:firstLine="708"/>
        <w:rPr>
          <w:b/>
        </w:rPr>
      </w:pPr>
      <w:r>
        <w:rPr>
          <w:b/>
        </w:rPr>
        <w:t>12. Реквизиты и подписи сторон</w:t>
      </w:r>
    </w:p>
    <w:p w14:paraId="00000082">
      <w:pPr>
        <w:jc w:val="center"/>
        <w:rPr>
          <w:b/>
        </w:rPr>
      </w:pPr>
    </w:p>
    <w:tbl>
      <w:tblPr>
        <w:tblStyle w:val="TableGrid"/>
        <w:tblW w:w="9488" w:type="dxa"/>
        <w:tblLook w:val="04A0"/>
      </w:tblPr>
      <w:tblGrid>
        <w:gridCol w:w="4815"/>
        <w:gridCol w:w="4673"/>
      </w:tblGrid>
      <w:tr>
        <w:trPr/>
        <w:tc>
          <w:tcPr>
            <w:cnfStyle w:val="101000000000"/>
            <w:tcW w:w="4815" w:type="dxa"/>
            <w:tcBorders>
              <w:top w:val="single" w:color="ffffff" w:themeColor="background1" w:sz="4" w:space="0"/>
              <w:left w:val="single" w:color="ffffff" w:themeColor="background1" w:sz="4" w:space="0"/>
              <w:bottom w:val="single" w:color="ffffff" w:themeColor="background1" w:sz="4" w:space="0"/>
              <w:right w:val="single" w:color="ffffff" w:themeColor="background1" w:sz="4" w:space="0"/>
            </w:tcBorders>
          </w:tcPr>
          <w:p w14:paraId="00000083">
            <w:pPr>
              <w:jc w:val="both"/>
              <w:rPr>
                <w:b/>
              </w:rPr>
            </w:pPr>
            <w:r>
              <w:rPr>
                <w:b/>
              </w:rPr>
              <w:t>Заказчик:</w:t>
            </w:r>
          </w:p>
        </w:tc>
        <w:tc>
          <w:tcPr>
            <w:cnfStyle w:val="100000000000"/>
            <w:tcW w:w="4673" w:type="dxa"/>
            <w:tcBorders>
              <w:top w:val="single" w:color="ffffff" w:themeColor="background1" w:sz="4" w:space="0"/>
              <w:left w:val="single" w:color="ffffff" w:themeColor="background1" w:sz="4" w:space="0"/>
              <w:bottom w:val="single" w:color="ffffff" w:themeColor="background1" w:sz="4" w:space="0"/>
              <w:right w:val="single" w:color="ffffff" w:themeColor="background1" w:sz="4" w:space="0"/>
            </w:tcBorders>
          </w:tcPr>
          <w:p w14:paraId="00000084">
            <w:pPr>
              <w:jc w:val="both"/>
              <w:rPr>
                <w:b/>
              </w:rPr>
            </w:pPr>
            <w:r>
              <w:rPr>
                <w:b/>
              </w:rPr>
              <w:t>Поставщик:</w:t>
            </w:r>
          </w:p>
        </w:tc>
      </w:tr>
    </w:tbl>
    <w:p w14:paraId="00000085">
      <w:pPr>
        <w:spacing w:after="160" w:line="259" w:lineRule="auto"/>
        <w:rPr/>
        <w:sectPr>
          <w:pgSz w:w="11906" w:h="16838"/>
          <w:pgMar w:top="1134" w:right="851" w:bottom="1134" w:left="1701" w:header="709" w:footer="709" w:gutter="0"/>
          <w:cols w:space="708"/>
        </w:sectPr>
      </w:pPr>
      <w:r>
        <w:rPr/>
        <w:br w:type="page"/>
      </w:r>
      <w:r>
        <w:t>
</w:t>
      </w:r>
    </w:p>
    <w:p w14:paraId="00000086">
      <w:pPr>
        <w:ind w:left="6237"/>
        <w:jc w:val="right"/>
        <w:rPr/>
      </w:pPr>
      <w:r>
        <w:t>Приложение № 1 к Контракту</w:t>
      </w:r>
    </w:p>
    <w:p w14:paraId="00000087">
      <w:pPr>
        <w:pStyle w:val="ListParagraph"/>
        <w:ind w:left="-426" w:firstLine="142"/>
        <w:jc w:val="right"/>
        <w:rPr>
          <w:rFonts w:ascii="Times New Roman" w:cs="Times New Roman" w:hAnsi="Times New Roman"/>
          <w:sz w:val="24"/>
          <w:szCs w:val="24"/>
        </w:rPr>
      </w:pPr>
      <w:r>
        <w:rPr>
          <w:rFonts w:ascii="Times New Roman" w:cs="Times New Roman" w:hAnsi="Times New Roman"/>
          <w:sz w:val="24"/>
          <w:szCs w:val="24"/>
        </w:rPr>
        <w:t>от «</w:t>
      </w:r>
      <w:r>
        <w:rPr>
          <w:rFonts w:ascii="Times New Roman" w:cs="Times New Roman" w:hAnsi="Times New Roman"/>
          <w:sz w:val="24"/>
          <w:szCs w:val="24"/>
        </w:rPr>
        <w:t>___</w:t>
      </w:r>
      <w:r>
        <w:rPr>
          <w:rFonts w:ascii="Times New Roman" w:cs="Times New Roman" w:hAnsi="Times New Roman"/>
          <w:sz w:val="24"/>
          <w:szCs w:val="24"/>
        </w:rPr>
        <w:t>»</w:t>
      </w:r>
      <w:r>
        <w:rPr>
          <w:rFonts w:ascii="Times New Roman" w:cs="Times New Roman" w:hAnsi="Times New Roman"/>
          <w:sz w:val="24"/>
          <w:szCs w:val="24"/>
        </w:rPr>
        <w:t>_____________</w:t>
      </w:r>
      <w:r>
        <w:rPr>
          <w:rFonts w:ascii="Times New Roman" w:cs="Times New Roman" w:hAnsi="Times New Roman"/>
          <w:sz w:val="24"/>
          <w:szCs w:val="24"/>
        </w:rPr>
        <w:t>г. №</w:t>
      </w:r>
      <w:r>
        <w:t xml:space="preserve"> </w:t>
      </w:r>
      <w:r>
        <w:rPr>
          <w:rFonts w:ascii="Times New Roman" w:cs="Times New Roman" w:hAnsi="Times New Roman"/>
          <w:sz w:val="24"/>
          <w:szCs w:val="24"/>
        </w:rPr>
        <w:t>______</w:t>
      </w:r>
    </w:p>
    <w:p w14:paraId="00000088">
      <w:pPr>
        <w:jc w:val="right"/>
        <w:rPr/>
      </w:pPr>
    </w:p>
    <w:p w14:paraId="00000089">
      <w:pPr>
        <w:jc w:val="both"/>
        <w:rPr/>
      </w:pPr>
    </w:p>
    <w:p w14:paraId="0000008A">
      <w:pPr>
        <w:jc w:val="center"/>
        <w:rPr>
          <w:b/>
        </w:rPr>
      </w:pPr>
      <w:r>
        <w:rPr>
          <w:b/>
        </w:rPr>
        <w:t>СПЕЦИФИКАЦИЯ</w:t>
      </w:r>
    </w:p>
    <w:p w14:paraId="0000008B">
      <w:pPr>
        <w:jc w:val="center"/>
        <w:rPr>
          <w:b/>
        </w:rPr>
      </w:pPr>
    </w:p>
    <w:tbl>
      <w:tblPr>
        <w:tblStyle w:val="TableGrid"/>
        <w:tblW w:w="14459" w:type="dxa"/>
        <w:tblInd w:w="-5" w:type="dxa"/>
        <w:tblLayout w:type="fixed"/>
        <w:tblLook w:val="04A0"/>
      </w:tblPr>
      <w:tblGrid>
        <w:gridCol w:w="562"/>
        <w:gridCol w:w="2415"/>
        <w:gridCol w:w="1134"/>
        <w:gridCol w:w="992"/>
        <w:gridCol w:w="1423"/>
        <w:gridCol w:w="905"/>
        <w:gridCol w:w="1330"/>
        <w:gridCol w:w="3713"/>
        <w:gridCol w:w="1985"/>
      </w:tblGrid>
      <w:tr>
        <w:trPr>
          <w:cnfStyle w:val="100000000000"/>
        </w:trPr>
        <w:tc>
          <w:tcPr>
            <w:cnfStyle w:val="101000000000"/>
            <w:tcW w:w="562" w:type="dxa"/>
          </w:tcPr>
          <w:p w14:paraId="0000008C">
            <w:pPr>
              <w:jc w:val="center"/>
              <w:rPr>
                <w:b/>
                <w:sz w:val="22"/>
                <w:szCs w:val="22"/>
              </w:rPr>
            </w:pPr>
            <w:r>
              <w:rPr>
                <w:b/>
                <w:sz w:val="22"/>
                <w:szCs w:val="22"/>
              </w:rPr>
              <w:t>№</w:t>
            </w:r>
          </w:p>
          <w:p w14:paraId="0000008D">
            <w:pPr>
              <w:jc w:val="center"/>
              <w:rPr>
                <w:b/>
                <w:sz w:val="22"/>
                <w:szCs w:val="22"/>
              </w:rPr>
            </w:pPr>
            <w:r>
              <w:rPr>
                <w:b/>
                <w:sz w:val="22"/>
                <w:szCs w:val="22"/>
              </w:rPr>
              <w:t>п/п</w:t>
            </w:r>
          </w:p>
        </w:tc>
        <w:tc>
          <w:tcPr>
            <w:cnfStyle w:val="100000000000"/>
            <w:tcW w:w="2415" w:type="dxa"/>
          </w:tcPr>
          <w:p w14:paraId="0000008E">
            <w:pPr>
              <w:jc w:val="center"/>
              <w:rPr>
                <w:b/>
                <w:sz w:val="22"/>
                <w:szCs w:val="22"/>
              </w:rPr>
            </w:pPr>
            <w:r>
              <w:rPr>
                <w:b/>
                <w:sz w:val="22"/>
                <w:szCs w:val="22"/>
              </w:rPr>
              <w:t xml:space="preserve">Наименование </w:t>
            </w:r>
          </w:p>
        </w:tc>
        <w:tc>
          <w:tcPr>
            <w:cnfStyle w:val="100000000000"/>
            <w:tcW w:w="1134" w:type="dxa"/>
          </w:tcPr>
          <w:p w14:paraId="0000008F">
            <w:pPr>
              <w:jc w:val="center"/>
              <w:rPr>
                <w:b/>
                <w:sz w:val="22"/>
                <w:szCs w:val="22"/>
              </w:rPr>
            </w:pPr>
            <w:r>
              <w:rPr>
                <w:b/>
                <w:sz w:val="22"/>
                <w:szCs w:val="22"/>
              </w:rPr>
              <w:t>Ед.изм.</w:t>
            </w:r>
          </w:p>
        </w:tc>
        <w:tc>
          <w:tcPr>
            <w:cnfStyle w:val="100000000000"/>
            <w:tcW w:w="992" w:type="dxa"/>
          </w:tcPr>
          <w:p w14:paraId="00000090">
            <w:pPr>
              <w:jc w:val="center"/>
              <w:rPr>
                <w:b/>
                <w:sz w:val="22"/>
                <w:szCs w:val="22"/>
              </w:rPr>
            </w:pPr>
            <w:r>
              <w:rPr>
                <w:b/>
                <w:sz w:val="22"/>
                <w:szCs w:val="22"/>
              </w:rPr>
              <w:t>Кол-во</w:t>
            </w:r>
          </w:p>
        </w:tc>
        <w:tc>
          <w:tcPr>
            <w:cnfStyle w:val="100000000000"/>
            <w:tcW w:w="1423" w:type="dxa"/>
          </w:tcPr>
          <w:p w14:paraId="00000091">
            <w:pPr>
              <w:jc w:val="center"/>
              <w:rPr>
                <w:b/>
                <w:sz w:val="22"/>
                <w:szCs w:val="22"/>
              </w:rPr>
            </w:pPr>
            <w:r>
              <w:rPr>
                <w:b/>
                <w:sz w:val="22"/>
                <w:szCs w:val="22"/>
              </w:rPr>
              <w:t>Цена за единицу,</w:t>
            </w:r>
          </w:p>
          <w:p w14:paraId="00000092">
            <w:pPr>
              <w:jc w:val="center"/>
              <w:rPr>
                <w:b/>
                <w:sz w:val="22"/>
                <w:szCs w:val="22"/>
              </w:rPr>
            </w:pPr>
            <w:r>
              <w:rPr>
                <w:b/>
                <w:sz w:val="22"/>
                <w:szCs w:val="22"/>
              </w:rPr>
              <w:t>руб.</w:t>
            </w:r>
          </w:p>
        </w:tc>
        <w:tc>
          <w:tcPr>
            <w:cnfStyle w:val="100000000000"/>
            <w:tcW w:w="905" w:type="dxa"/>
          </w:tcPr>
          <w:p w14:paraId="00000093">
            <w:pPr>
              <w:jc w:val="center"/>
              <w:rPr>
                <w:b/>
                <w:sz w:val="22"/>
                <w:szCs w:val="22"/>
              </w:rPr>
            </w:pPr>
            <w:r>
              <w:rPr>
                <w:b/>
                <w:sz w:val="22"/>
                <w:szCs w:val="22"/>
              </w:rPr>
              <w:t>НДС</w:t>
            </w:r>
            <w:r>
              <w:rPr>
                <w:b/>
                <w:sz w:val="22"/>
                <w:szCs w:val="22"/>
              </w:rPr>
              <w:t xml:space="preserve"> %</w:t>
            </w:r>
          </w:p>
        </w:tc>
        <w:tc>
          <w:tcPr>
            <w:cnfStyle w:val="100000000000"/>
            <w:tcW w:w="1330" w:type="dxa"/>
          </w:tcPr>
          <w:p w14:paraId="00000094">
            <w:pPr>
              <w:jc w:val="center"/>
              <w:rPr>
                <w:b/>
                <w:sz w:val="22"/>
                <w:szCs w:val="22"/>
              </w:rPr>
            </w:pPr>
            <w:r>
              <w:rPr>
                <w:b/>
                <w:sz w:val="22"/>
                <w:szCs w:val="22"/>
              </w:rPr>
              <w:t>Гарантия</w:t>
            </w:r>
          </w:p>
        </w:tc>
        <w:tc>
          <w:tcPr>
            <w:cnfStyle w:val="100000000000"/>
            <w:tcW w:w="3713" w:type="dxa"/>
          </w:tcPr>
          <w:p w14:paraId="00000095">
            <w:pPr>
              <w:jc w:val="center"/>
              <w:rPr>
                <w:b/>
                <w:sz w:val="22"/>
                <w:szCs w:val="22"/>
              </w:rPr>
            </w:pPr>
            <w:r>
              <w:rPr>
                <w:b/>
                <w:sz w:val="22"/>
                <w:szCs w:val="22"/>
              </w:rPr>
              <w:t>Характеристики товара</w:t>
            </w:r>
          </w:p>
        </w:tc>
        <w:tc>
          <w:tcPr>
            <w:cnfStyle w:val="100000000000"/>
            <w:tcW w:w="1985" w:type="dxa"/>
          </w:tcPr>
          <w:p w14:paraId="00000096">
            <w:pPr>
              <w:jc w:val="center"/>
              <w:rPr>
                <w:b/>
                <w:sz w:val="22"/>
                <w:szCs w:val="22"/>
              </w:rPr>
            </w:pPr>
            <w:r>
              <w:rPr>
                <w:b/>
                <w:sz w:val="22"/>
                <w:szCs w:val="22"/>
              </w:rPr>
              <w:t>Стоимость,</w:t>
            </w:r>
          </w:p>
          <w:p w14:paraId="00000097">
            <w:pPr>
              <w:jc w:val="center"/>
              <w:rPr>
                <w:b/>
                <w:sz w:val="22"/>
                <w:szCs w:val="22"/>
              </w:rPr>
            </w:pPr>
            <w:r>
              <w:rPr>
                <w:b/>
                <w:sz w:val="22"/>
                <w:szCs w:val="22"/>
              </w:rPr>
              <w:t xml:space="preserve">руб. </w:t>
            </w:r>
          </w:p>
        </w:tc>
      </w:tr>
      <w:tr>
        <w:trPr>
          <w:cnfStyle w:val="000000100000"/>
        </w:trPr>
        <w:tc>
          <w:tcPr>
            <w:cnfStyle w:val="001000100000"/>
            <w:tcW w:w="562" w:type="dxa"/>
          </w:tcPr>
          <w:p w14:paraId="00000098">
            <w:pPr>
              <w:rPr>
                <w:sz w:val="22"/>
                <w:szCs w:val="22"/>
              </w:rPr>
            </w:pPr>
            <w:r>
              <w:rPr>
                <w:sz w:val="22"/>
                <w:szCs w:val="22"/>
              </w:rPr>
              <w:t>1</w:t>
            </w:r>
          </w:p>
        </w:tc>
        <w:tc>
          <w:tcPr>
            <w:cnfStyle w:val="000000100000"/>
            <w:tcW w:w="2415" w:type="dxa"/>
            <w:tcBorders>
              <w:top w:val="single" w:color="000000" w:sz="4" w:space="0"/>
              <w:left w:val="single" w:color="000000" w:sz="4" w:space="0"/>
              <w:bottom w:val="single" w:color="000000" w:sz="4" w:space="0"/>
              <w:right w:val="single" w:color="000000" w:sz="4" w:space="0"/>
            </w:tcBorders>
            <w:vAlign w:val="bottom"/>
          </w:tcPr>
          <w:p w14:paraId="00000099">
            <w:pPr>
              <w:jc w:val="center"/>
              <w:rPr>
                <w:sz w:val="22"/>
                <w:szCs w:val="22"/>
              </w:rPr>
            </w:pPr>
            <w:r>
              <w:rPr>
                <w:rFonts w:ascii="Cambria" w:hint="default"/>
                <w:b w:val="off"/>
                <w:bCs w:val="off"/>
                <w:i w:val="off"/>
                <w:iCs w:val="off"/>
                <w:caps w:val="off"/>
                <w:smallCaps w:val="off"/>
                <w:outline w:val="off"/>
                <w:shadow w:val="off"/>
                <w:emboss w:val="off"/>
                <w:imprint w:val="off"/>
                <w:vanish w:val="off"/>
                <w:color w:val="000000"/>
                <w:spacing w:val="0"/>
                <w:w w:val="100"/>
                <w:position w:val="0"/>
                <w:sz w:val="20"/>
                <w:szCs w:val="20"/>
                <w:highlight w:val="none"/>
                <w:u w:val="none"/>
                <w:bdr w:val="nil" w:sz="4" w:space="0"/>
                <w:shd w:val="nil" w:color="auto" w:fill="auto"/>
                <w:vertAlign w:val="baseline"/>
                <w:rtl w:val="off"/>
                <w:cs w:val="off"/>
              </w:rPr>
              <w:t xml:space="preserve">Бланк аттестата о среднем общем образовании с отличием к Медали I степени (титул+обложка) </w:t>
            </w:r>
          </w:p>
        </w:tc>
        <w:tc>
          <w:tcPr>
            <w:cnfStyle w:val="000000100000"/>
            <w:tcW w:w="1134" w:type="dxa"/>
            <w:tcBorders>
              <w:top w:val="single" w:color="000000" w:sz="4" w:space="0"/>
              <w:left w:val="single" w:color="000000" w:sz="4" w:space="0"/>
              <w:bottom w:val="single" w:color="000000" w:sz="4" w:space="0"/>
              <w:right w:val="single" w:color="000000" w:sz="4" w:space="0"/>
            </w:tcBorders>
            <w:vAlign w:val="center"/>
          </w:tcPr>
          <w:p w14:paraId="0000009A">
            <w:pPr>
              <w:jc w:val="center"/>
              <w:rPr>
                <w:sz w:val="22"/>
                <w:szCs w:val="22"/>
              </w:rPr>
            </w:pPr>
            <w:r>
              <w:rPr>
                <w:rFonts w:ascii="Times New Roman" w:hint="default"/>
                <w:b w:val="off"/>
                <w:bCs w:val="off"/>
                <w:i w:val="off"/>
                <w:iCs w:val="off"/>
                <w:caps w:val="off"/>
                <w:smallCaps w:val="off"/>
                <w:outline w:val="off"/>
                <w:shadow w:val="off"/>
                <w:emboss w:val="off"/>
                <w:imprint w:val="off"/>
                <w:vanish w:val="off"/>
                <w:color w:val="000000"/>
                <w:spacing w:val="0"/>
                <w:w w:val="100"/>
                <w:position w:val="0"/>
                <w:sz w:val="16"/>
                <w:szCs w:val="20"/>
                <w:highlight w:val="none"/>
                <w:u w:val="none"/>
                <w:bdr w:val="nil" w:sz="4" w:space="0"/>
                <w:shd w:val="nil" w:color="auto" w:fill="auto"/>
                <w:vertAlign w:val="baseline"/>
                <w:rtl w:val="off"/>
                <w:cs w:val="off"/>
              </w:rPr>
              <w:t>шт.</w:t>
            </w:r>
          </w:p>
        </w:tc>
        <w:tc>
          <w:tcPr>
            <w:cnfStyle w:val="000000100000"/>
            <w:tcW w:w="992" w:type="dxa"/>
            <w:tcBorders>
              <w:top w:val="single" w:color="000000" w:sz="4" w:space="0"/>
              <w:left w:val="single" w:color="000000" w:sz="4" w:space="0"/>
              <w:bottom w:val="single" w:color="000000" w:sz="4" w:space="0"/>
              <w:right w:val="single" w:color="000000" w:sz="4" w:space="0"/>
            </w:tcBorders>
            <w:vAlign w:val="bottom"/>
          </w:tcPr>
          <w:p w14:paraId="0000009B">
            <w:pPr>
              <w:jc w:val="center"/>
              <w:rPr>
                <w:sz w:val="22"/>
                <w:szCs w:val="22"/>
              </w:rPr>
            </w:pPr>
            <w:r>
              <w:rPr>
                <w:rFonts w:ascii="Cambria" w:hint="default"/>
                <w:b w:val="off"/>
                <w:bCs w:val="off"/>
                <w:i w:val="off"/>
                <w:iCs w:val="off"/>
                <w:caps w:val="off"/>
                <w:smallCaps w:val="off"/>
                <w:outline w:val="off"/>
                <w:shadow w:val="off"/>
                <w:emboss w:val="off"/>
                <w:imprint w:val="off"/>
                <w:vanish w:val="off"/>
                <w:color w:val="000000"/>
                <w:spacing w:val="0"/>
                <w:w w:val="100"/>
                <w:position w:val="0"/>
                <w:sz w:val="20"/>
                <w:szCs w:val="20"/>
                <w:highlight w:val="none"/>
                <w:u w:val="none"/>
                <w:bdr w:val="nil" w:sz="4" w:space="0"/>
                <w:shd w:val="nil" w:color="auto" w:fill="auto"/>
                <w:vertAlign w:val="baseline"/>
                <w:rtl w:val="off"/>
                <w:cs w:val="off"/>
              </w:rPr>
              <w:t>9</w:t>
            </w:r>
          </w:p>
        </w:tc>
        <w:tc>
          <w:tcPr>
            <w:cnfStyle w:val="000000100000"/>
            <w:tcW w:w="1423" w:type="dxa"/>
          </w:tcPr>
          <w:p w14:paraId="0000009C">
            <w:pPr>
              <w:jc w:val="center"/>
              <w:rPr>
                <w:sz w:val="22"/>
                <w:szCs w:val="22"/>
              </w:rPr>
            </w:pPr>
          </w:p>
        </w:tc>
        <w:tc>
          <w:tcPr>
            <w:cnfStyle w:val="000000100000"/>
            <w:tcW w:w="905" w:type="dxa"/>
          </w:tcPr>
          <w:p w14:paraId="0000009D">
            <w:pPr>
              <w:jc w:val="center"/>
              <w:rPr>
                <w:sz w:val="22"/>
                <w:szCs w:val="22"/>
              </w:rPr>
            </w:pPr>
          </w:p>
        </w:tc>
        <w:tc>
          <w:tcPr>
            <w:cnfStyle w:val="000000100000"/>
            <w:tcW w:w="1330" w:type="dxa"/>
          </w:tcPr>
          <w:p w14:paraId="0000009E">
            <w:pPr>
              <w:jc w:val="center"/>
              <w:rPr>
                <w:sz w:val="22"/>
                <w:szCs w:val="22"/>
              </w:rPr>
            </w:pPr>
          </w:p>
        </w:tc>
        <w:tc>
          <w:tcPr>
            <w:cnfStyle w:val="000000100000"/>
            <w:tcW w:w="3713" w:type="dxa"/>
          </w:tcPr>
          <w:p w14:paraId="0000009F">
            <w:pPr>
              <w:rPr>
                <w:sz w:val="20"/>
                <w:szCs w:val="20"/>
                <w:lang w:val="en-US"/>
              </w:rPr>
            </w:pPr>
          </w:p>
        </w:tc>
        <w:tc>
          <w:tcPr>
            <w:cnfStyle w:val="000000100000"/>
            <w:tcW w:w="1985" w:type="dxa"/>
          </w:tcPr>
          <w:p w14:paraId="000000A0">
            <w:pPr>
              <w:jc w:val="center"/>
              <w:rPr>
                <w:sz w:val="22"/>
                <w:szCs w:val="22"/>
              </w:rPr>
            </w:pPr>
          </w:p>
        </w:tc>
      </w:tr>
      <w:tr>
        <w:trPr>
          <w:cnfStyle w:val="000000010000"/>
        </w:trPr>
        <w:tc>
          <w:tcPr>
            <w:cnfStyle w:val="001000010000"/>
            <w:tcW w:w="562" w:type="dxa"/>
          </w:tcPr>
          <w:p w14:paraId="000000A1">
            <w:pPr>
              <w:rPr>
                <w:sz w:val="22"/>
                <w:szCs w:val="22"/>
              </w:rPr>
            </w:pPr>
            <w:r>
              <w:rPr>
                <w:sz w:val="22"/>
                <w:szCs w:val="22"/>
              </w:rPr>
              <w:t>2</w:t>
            </w:r>
          </w:p>
        </w:tc>
        <w:tc>
          <w:tcPr>
            <w:cnfStyle w:val="000000010000"/>
            <w:tcW w:w="2415" w:type="dxa"/>
            <w:tcBorders>
              <w:top w:val="single" w:color="000000" w:sz="4" w:space="0"/>
              <w:left w:val="single" w:color="000000" w:sz="4" w:space="0"/>
              <w:bottom w:val="single" w:color="000000" w:sz="4" w:space="0"/>
              <w:right w:val="single" w:color="000000" w:sz="4" w:space="0"/>
            </w:tcBorders>
            <w:vAlign w:val="bottom"/>
          </w:tcPr>
          <w:p w14:paraId="000000A2">
            <w:pPr>
              <w:jc w:val="center"/>
              <w:rPr>
                <w:sz w:val="22"/>
                <w:szCs w:val="22"/>
              </w:rPr>
            </w:pPr>
            <w:r>
              <w:rPr>
                <w:rFonts w:ascii="Cambria" w:hint="default"/>
                <w:b w:val="off"/>
                <w:bCs w:val="off"/>
                <w:i w:val="off"/>
                <w:iCs w:val="off"/>
                <w:caps w:val="off"/>
                <w:smallCaps w:val="off"/>
                <w:outline w:val="off"/>
                <w:shadow w:val="off"/>
                <w:emboss w:val="off"/>
                <w:imprint w:val="off"/>
                <w:vanish w:val="off"/>
                <w:color w:val="000000"/>
                <w:spacing w:val="0"/>
                <w:w w:val="100"/>
                <w:position w:val="0"/>
                <w:sz w:val="20"/>
                <w:szCs w:val="20"/>
                <w:highlight w:val="none"/>
                <w:u w:val="none"/>
                <w:bdr w:val="nil" w:sz="4" w:space="0"/>
                <w:shd w:val="nil" w:color="auto" w:fill="auto"/>
                <w:vertAlign w:val="baseline"/>
                <w:rtl w:val="off"/>
                <w:cs w:val="off"/>
              </w:rPr>
              <w:t xml:space="preserve">Бланк аттестата о среднем общем образовании с отличием к Медали II степени (титул+обложка) </w:t>
            </w:r>
          </w:p>
        </w:tc>
        <w:tc>
          <w:tcPr>
            <w:cnfStyle w:val="000000010000"/>
            <w:tcW w:w="1134" w:type="dxa"/>
            <w:tcBorders>
              <w:top w:val="single" w:color="000000" w:sz="4" w:space="0"/>
              <w:left w:val="single" w:color="000000" w:sz="4" w:space="0"/>
              <w:bottom w:val="single" w:color="000000" w:sz="4" w:space="0"/>
              <w:right w:val="single" w:color="000000" w:sz="4" w:space="0"/>
            </w:tcBorders>
            <w:vAlign w:val="center"/>
          </w:tcPr>
          <w:p w14:paraId="000000A3">
            <w:pPr>
              <w:jc w:val="center"/>
              <w:rPr>
                <w:sz w:val="22"/>
                <w:szCs w:val="22"/>
              </w:rPr>
            </w:pPr>
            <w:r>
              <w:rPr>
                <w:rFonts w:ascii="Times New Roman" w:hint="default"/>
                <w:b w:val="off"/>
                <w:bCs w:val="off"/>
                <w:i w:val="off"/>
                <w:iCs w:val="off"/>
                <w:caps w:val="off"/>
                <w:smallCaps w:val="off"/>
                <w:outline w:val="off"/>
                <w:shadow w:val="off"/>
                <w:emboss w:val="off"/>
                <w:imprint w:val="off"/>
                <w:vanish w:val="off"/>
                <w:color w:val="000000"/>
                <w:spacing w:val="0"/>
                <w:w w:val="100"/>
                <w:position w:val="0"/>
                <w:sz w:val="16"/>
                <w:szCs w:val="20"/>
                <w:highlight w:val="none"/>
                <w:u w:val="none"/>
                <w:bdr w:val="nil" w:sz="4" w:space="0"/>
                <w:shd w:val="nil" w:color="auto" w:fill="auto"/>
                <w:vertAlign w:val="baseline"/>
                <w:rtl w:val="off"/>
                <w:cs w:val="off"/>
              </w:rPr>
              <w:t>шт.</w:t>
            </w:r>
          </w:p>
        </w:tc>
        <w:tc>
          <w:tcPr>
            <w:cnfStyle w:val="000000010000"/>
            <w:tcW w:w="992" w:type="dxa"/>
            <w:tcBorders>
              <w:top w:val="single" w:color="000000" w:sz="4" w:space="0"/>
              <w:left w:val="single" w:color="000000" w:sz="4" w:space="0"/>
              <w:bottom w:val="single" w:color="000000" w:sz="4" w:space="0"/>
              <w:right w:val="single" w:color="000000" w:sz="4" w:space="0"/>
            </w:tcBorders>
            <w:vAlign w:val="bottom"/>
          </w:tcPr>
          <w:p w14:paraId="000000A4">
            <w:pPr>
              <w:jc w:val="center"/>
              <w:rPr>
                <w:sz w:val="22"/>
                <w:szCs w:val="22"/>
              </w:rPr>
            </w:pPr>
            <w:r>
              <w:rPr>
                <w:rFonts w:ascii="Cambria" w:hint="default"/>
                <w:b w:val="off"/>
                <w:bCs w:val="off"/>
                <w:i w:val="off"/>
                <w:iCs w:val="off"/>
                <w:caps w:val="off"/>
                <w:smallCaps w:val="off"/>
                <w:outline w:val="off"/>
                <w:shadow w:val="off"/>
                <w:emboss w:val="off"/>
                <w:imprint w:val="off"/>
                <w:vanish w:val="off"/>
                <w:color w:val="000000"/>
                <w:spacing w:val="0"/>
                <w:w w:val="100"/>
                <w:position w:val="0"/>
                <w:sz w:val="20"/>
                <w:szCs w:val="20"/>
                <w:highlight w:val="none"/>
                <w:u w:val="none"/>
                <w:bdr w:val="nil" w:sz="4" w:space="0"/>
                <w:shd w:val="nil" w:color="auto" w:fill="auto"/>
                <w:vertAlign w:val="baseline"/>
                <w:rtl w:val="off"/>
                <w:cs w:val="off"/>
              </w:rPr>
              <w:t>5</w:t>
            </w:r>
          </w:p>
        </w:tc>
        <w:tc>
          <w:tcPr>
            <w:cnfStyle w:val="000000010000"/>
            <w:tcW w:w="1423" w:type="dxa"/>
          </w:tcPr>
          <w:p w14:paraId="000000A5">
            <w:pPr>
              <w:jc w:val="center"/>
              <w:rPr>
                <w:sz w:val="22"/>
                <w:szCs w:val="22"/>
              </w:rPr>
            </w:pPr>
          </w:p>
        </w:tc>
        <w:tc>
          <w:tcPr>
            <w:cnfStyle w:val="000000010000"/>
            <w:tcW w:w="905" w:type="dxa"/>
          </w:tcPr>
          <w:p w14:paraId="000000A6">
            <w:pPr>
              <w:jc w:val="center"/>
              <w:rPr>
                <w:sz w:val="22"/>
                <w:szCs w:val="22"/>
              </w:rPr>
            </w:pPr>
          </w:p>
        </w:tc>
        <w:tc>
          <w:tcPr>
            <w:cnfStyle w:val="000000010000"/>
            <w:tcW w:w="1330" w:type="dxa"/>
          </w:tcPr>
          <w:p w14:paraId="000000A7">
            <w:pPr>
              <w:jc w:val="center"/>
              <w:rPr>
                <w:sz w:val="22"/>
                <w:szCs w:val="22"/>
              </w:rPr>
            </w:pPr>
          </w:p>
        </w:tc>
        <w:tc>
          <w:tcPr>
            <w:cnfStyle w:val="000000010000"/>
            <w:tcW w:w="3713" w:type="dxa"/>
          </w:tcPr>
          <w:p w14:paraId="000000A8">
            <w:pPr>
              <w:rPr>
                <w:sz w:val="20"/>
                <w:szCs w:val="20"/>
                <w:lang w:val="en-US"/>
              </w:rPr>
            </w:pPr>
          </w:p>
        </w:tc>
        <w:tc>
          <w:tcPr>
            <w:cnfStyle w:val="000000010000"/>
            <w:tcW w:w="1985" w:type="dxa"/>
          </w:tcPr>
          <w:p w14:paraId="000000A9">
            <w:pPr>
              <w:jc w:val="center"/>
              <w:rPr>
                <w:sz w:val="22"/>
                <w:szCs w:val="22"/>
              </w:rPr>
            </w:pPr>
          </w:p>
        </w:tc>
      </w:tr>
      <w:tr>
        <w:trPr>
          <w:cnfStyle w:val="000000100000"/>
        </w:trPr>
        <w:tc>
          <w:tcPr>
            <w:cnfStyle w:val="001000100000"/>
            <w:tcW w:w="562" w:type="dxa"/>
          </w:tcPr>
          <w:p w14:paraId="000000AA">
            <w:pPr>
              <w:rPr>
                <w:sz w:val="22"/>
                <w:szCs w:val="22"/>
              </w:rPr>
            </w:pPr>
            <w:r>
              <w:rPr>
                <w:sz w:val="22"/>
                <w:szCs w:val="22"/>
              </w:rPr>
              <w:t>3</w:t>
            </w:r>
          </w:p>
        </w:tc>
        <w:tc>
          <w:tcPr>
            <w:cnfStyle w:val="000000100000"/>
            <w:tcW w:w="2415" w:type="dxa"/>
            <w:tcBorders>
              <w:top w:val="single" w:color="000000" w:sz="4" w:space="0"/>
              <w:left w:val="single" w:color="000000" w:sz="4" w:space="0"/>
              <w:bottom w:val="single" w:color="000000" w:sz="4" w:space="0"/>
              <w:right w:val="single" w:color="000000" w:sz="4" w:space="0"/>
            </w:tcBorders>
            <w:vAlign w:val="bottom"/>
          </w:tcPr>
          <w:p w14:paraId="000000AB">
            <w:pPr>
              <w:jc w:val="center"/>
              <w:rPr>
                <w:sz w:val="22"/>
                <w:szCs w:val="22"/>
              </w:rPr>
            </w:pPr>
            <w:r>
              <w:rPr>
                <w:rFonts w:ascii="Cambria" w:hint="default"/>
                <w:b w:val="off"/>
                <w:bCs w:val="off"/>
                <w:i w:val="off"/>
                <w:iCs w:val="off"/>
                <w:caps w:val="off"/>
                <w:smallCaps w:val="off"/>
                <w:outline w:val="off"/>
                <w:shadow w:val="off"/>
                <w:emboss w:val="off"/>
                <w:imprint w:val="off"/>
                <w:vanish w:val="off"/>
                <w:color w:val="000000"/>
                <w:spacing w:val="0"/>
                <w:w w:val="100"/>
                <w:position w:val="0"/>
                <w:sz w:val="20"/>
                <w:szCs w:val="20"/>
                <w:highlight w:val="none"/>
                <w:u w:val="none"/>
                <w:bdr w:val="nil" w:sz="4" w:space="0"/>
                <w:shd w:val="nil" w:color="auto" w:fill="auto"/>
                <w:vertAlign w:val="baseline"/>
                <w:rtl w:val="off"/>
                <w:cs w:val="off"/>
              </w:rPr>
              <w:t xml:space="preserve">Медаль «За особые успехи в учении» I степени (медаль, футляр красного цвета, удостоверение формата А5) </w:t>
            </w:r>
          </w:p>
        </w:tc>
        <w:tc>
          <w:tcPr>
            <w:cnfStyle w:val="000000100000"/>
            <w:tcW w:w="1134" w:type="dxa"/>
            <w:tcBorders>
              <w:top w:val="single" w:color="000000" w:sz="4" w:space="0"/>
              <w:left w:val="single" w:color="000000" w:sz="4" w:space="0"/>
              <w:bottom w:val="single" w:color="000000" w:sz="4" w:space="0"/>
              <w:right w:val="single" w:color="000000" w:sz="4" w:space="0"/>
            </w:tcBorders>
            <w:vAlign w:val="center"/>
          </w:tcPr>
          <w:p w14:paraId="000000AC">
            <w:pPr>
              <w:jc w:val="center"/>
              <w:rPr>
                <w:sz w:val="22"/>
                <w:szCs w:val="22"/>
              </w:rPr>
            </w:pPr>
            <w:r>
              <w:rPr>
                <w:rFonts w:ascii="Times New Roman" w:hint="default"/>
                <w:b w:val="off"/>
                <w:bCs w:val="off"/>
                <w:i w:val="off"/>
                <w:iCs w:val="off"/>
                <w:caps w:val="off"/>
                <w:smallCaps w:val="off"/>
                <w:outline w:val="off"/>
                <w:shadow w:val="off"/>
                <w:emboss w:val="off"/>
                <w:imprint w:val="off"/>
                <w:vanish w:val="off"/>
                <w:color w:val="000000"/>
                <w:spacing w:val="0"/>
                <w:w w:val="100"/>
                <w:position w:val="0"/>
                <w:sz w:val="16"/>
                <w:szCs w:val="20"/>
                <w:highlight w:val="none"/>
                <w:u w:val="none"/>
                <w:bdr w:val="nil" w:sz="4" w:space="0"/>
                <w:shd w:val="nil" w:color="auto" w:fill="auto"/>
                <w:vertAlign w:val="baseline"/>
                <w:rtl w:val="off"/>
                <w:cs w:val="off"/>
              </w:rPr>
              <w:t>шт.</w:t>
            </w:r>
          </w:p>
        </w:tc>
        <w:tc>
          <w:tcPr>
            <w:cnfStyle w:val="000000100000"/>
            <w:tcW w:w="992" w:type="dxa"/>
            <w:tcBorders>
              <w:top w:val="single" w:color="000000" w:sz="4" w:space="0"/>
              <w:left w:val="single" w:color="000000" w:sz="4" w:space="0"/>
              <w:bottom w:val="single" w:color="000000" w:sz="4" w:space="0"/>
              <w:right w:val="single" w:color="000000" w:sz="4" w:space="0"/>
            </w:tcBorders>
            <w:vAlign w:val="bottom"/>
          </w:tcPr>
          <w:p w14:paraId="000000AD">
            <w:pPr>
              <w:jc w:val="center"/>
              <w:rPr>
                <w:sz w:val="22"/>
                <w:szCs w:val="22"/>
              </w:rPr>
            </w:pPr>
            <w:r>
              <w:rPr>
                <w:rFonts w:ascii="Cambria" w:hint="default"/>
                <w:b w:val="off"/>
                <w:bCs w:val="off"/>
                <w:i w:val="off"/>
                <w:iCs w:val="off"/>
                <w:caps w:val="off"/>
                <w:smallCaps w:val="off"/>
                <w:outline w:val="off"/>
                <w:shadow w:val="off"/>
                <w:emboss w:val="off"/>
                <w:imprint w:val="off"/>
                <w:vanish w:val="off"/>
                <w:color w:val="000000"/>
                <w:spacing w:val="0"/>
                <w:w w:val="100"/>
                <w:position w:val="0"/>
                <w:sz w:val="20"/>
                <w:szCs w:val="20"/>
                <w:highlight w:val="none"/>
                <w:u w:val="none"/>
                <w:bdr w:val="nil" w:sz="4" w:space="0"/>
                <w:shd w:val="nil" w:color="auto" w:fill="auto"/>
                <w:vertAlign w:val="baseline"/>
                <w:rtl w:val="off"/>
                <w:cs w:val="off"/>
              </w:rPr>
              <w:t>8</w:t>
            </w:r>
          </w:p>
        </w:tc>
        <w:tc>
          <w:tcPr>
            <w:cnfStyle w:val="000000100000"/>
            <w:tcW w:w="1423" w:type="dxa"/>
          </w:tcPr>
          <w:p w14:paraId="000000AE">
            <w:pPr>
              <w:jc w:val="center"/>
              <w:rPr>
                <w:sz w:val="22"/>
                <w:szCs w:val="22"/>
              </w:rPr>
            </w:pPr>
          </w:p>
        </w:tc>
        <w:tc>
          <w:tcPr>
            <w:cnfStyle w:val="000000100000"/>
            <w:tcW w:w="905" w:type="dxa"/>
          </w:tcPr>
          <w:p w14:paraId="000000AF">
            <w:pPr>
              <w:jc w:val="center"/>
              <w:rPr>
                <w:sz w:val="22"/>
                <w:szCs w:val="22"/>
              </w:rPr>
            </w:pPr>
          </w:p>
        </w:tc>
        <w:tc>
          <w:tcPr>
            <w:cnfStyle w:val="000000100000"/>
            <w:tcW w:w="1330" w:type="dxa"/>
          </w:tcPr>
          <w:p w14:paraId="000000B0">
            <w:pPr>
              <w:jc w:val="center"/>
              <w:rPr>
                <w:sz w:val="22"/>
                <w:szCs w:val="22"/>
              </w:rPr>
            </w:pPr>
          </w:p>
        </w:tc>
        <w:tc>
          <w:tcPr>
            <w:cnfStyle w:val="000000100000"/>
            <w:tcW w:w="3713" w:type="dxa"/>
          </w:tcPr>
          <w:p w14:paraId="000000B1">
            <w:pPr>
              <w:rPr>
                <w:sz w:val="20"/>
                <w:szCs w:val="20"/>
                <w:lang w:val="en-US"/>
              </w:rPr>
            </w:pPr>
          </w:p>
        </w:tc>
        <w:tc>
          <w:tcPr>
            <w:cnfStyle w:val="000000100000"/>
            <w:tcW w:w="1985" w:type="dxa"/>
          </w:tcPr>
          <w:p w14:paraId="000000B2">
            <w:pPr>
              <w:jc w:val="center"/>
              <w:rPr>
                <w:sz w:val="22"/>
                <w:szCs w:val="22"/>
              </w:rPr>
            </w:pPr>
          </w:p>
        </w:tc>
      </w:tr>
      <w:tr>
        <w:trPr>
          <w:cnfStyle w:val="000000010000"/>
        </w:trPr>
        <w:tc>
          <w:tcPr>
            <w:cnfStyle w:val="001000010000"/>
            <w:tcW w:w="562" w:type="dxa"/>
          </w:tcPr>
          <w:p w14:paraId="000000B3">
            <w:pPr>
              <w:rPr>
                <w:sz w:val="22"/>
                <w:szCs w:val="22"/>
              </w:rPr>
            </w:pPr>
            <w:r>
              <w:rPr>
                <w:sz w:val="22"/>
                <w:szCs w:val="22"/>
              </w:rPr>
              <w:t>4</w:t>
            </w:r>
          </w:p>
        </w:tc>
        <w:tc>
          <w:tcPr>
            <w:cnfStyle w:val="000000010000"/>
            <w:tcW w:w="2415" w:type="dxa"/>
            <w:tcBorders>
              <w:top w:val="single" w:color="000000" w:sz="4" w:space="0"/>
              <w:left w:val="single" w:color="000000" w:sz="4" w:space="0"/>
              <w:bottom w:val="single" w:color="000000" w:sz="4" w:space="0"/>
              <w:right w:val="single" w:color="000000" w:sz="4" w:space="0"/>
            </w:tcBorders>
            <w:vAlign w:val="bottom"/>
          </w:tcPr>
          <w:p w14:paraId="000000B4">
            <w:pPr>
              <w:jc w:val="center"/>
              <w:rPr>
                <w:sz w:val="22"/>
                <w:szCs w:val="22"/>
              </w:rPr>
            </w:pPr>
            <w:r>
              <w:rPr>
                <w:rFonts w:ascii="Cambria" w:hint="default"/>
                <w:b w:val="off"/>
                <w:bCs w:val="off"/>
                <w:i w:val="off"/>
                <w:iCs w:val="off"/>
                <w:caps w:val="off"/>
                <w:smallCaps w:val="off"/>
                <w:outline w:val="off"/>
                <w:shadow w:val="off"/>
                <w:emboss w:val="off"/>
                <w:imprint w:val="off"/>
                <w:vanish w:val="off"/>
                <w:color w:val="000000"/>
                <w:spacing w:val="0"/>
                <w:w w:val="100"/>
                <w:position w:val="0"/>
                <w:sz w:val="20"/>
                <w:szCs w:val="20"/>
                <w:highlight w:val="none"/>
                <w:u w:val="none"/>
                <w:bdr w:val="nil" w:sz="4" w:space="0"/>
                <w:shd w:val="nil" w:color="auto" w:fill="auto"/>
                <w:vertAlign w:val="baseline"/>
                <w:rtl w:val="off"/>
                <w:cs w:val="off"/>
              </w:rPr>
              <w:t xml:space="preserve">Медаль «За особые успехи в учении» II степени (медаль, футляр синего цвета, удостоверение формата А5) </w:t>
            </w:r>
          </w:p>
        </w:tc>
        <w:tc>
          <w:tcPr>
            <w:cnfStyle w:val="000000010000"/>
            <w:tcW w:w="1134" w:type="dxa"/>
            <w:tcBorders>
              <w:top w:val="single" w:color="000000" w:sz="4" w:space="0"/>
              <w:left w:val="single" w:color="000000" w:sz="4" w:space="0"/>
              <w:bottom w:val="single" w:color="000000" w:sz="4" w:space="0"/>
              <w:right w:val="single" w:color="000000" w:sz="4" w:space="0"/>
            </w:tcBorders>
            <w:vAlign w:val="center"/>
          </w:tcPr>
          <w:p w14:paraId="000000B5">
            <w:pPr>
              <w:jc w:val="center"/>
              <w:rPr>
                <w:sz w:val="22"/>
                <w:szCs w:val="22"/>
              </w:rPr>
            </w:pPr>
            <w:r>
              <w:rPr>
                <w:rFonts w:ascii="Times New Roman" w:hint="default"/>
                <w:b w:val="off"/>
                <w:bCs w:val="off"/>
                <w:i w:val="off"/>
                <w:iCs w:val="off"/>
                <w:caps w:val="off"/>
                <w:smallCaps w:val="off"/>
                <w:outline w:val="off"/>
                <w:shadow w:val="off"/>
                <w:emboss w:val="off"/>
                <w:imprint w:val="off"/>
                <w:vanish w:val="off"/>
                <w:color w:val="000000"/>
                <w:spacing w:val="0"/>
                <w:w w:val="100"/>
                <w:position w:val="0"/>
                <w:sz w:val="16"/>
                <w:szCs w:val="20"/>
                <w:highlight w:val="none"/>
                <w:u w:val="none"/>
                <w:bdr w:val="nil" w:sz="4" w:space="0"/>
                <w:shd w:val="nil" w:color="auto" w:fill="auto"/>
                <w:vertAlign w:val="baseline"/>
                <w:rtl w:val="off"/>
                <w:cs w:val="off"/>
              </w:rPr>
              <w:t>шт.</w:t>
            </w:r>
          </w:p>
        </w:tc>
        <w:tc>
          <w:tcPr>
            <w:cnfStyle w:val="000000010000"/>
            <w:tcW w:w="992" w:type="dxa"/>
            <w:tcBorders>
              <w:top w:val="single" w:color="000000" w:sz="4" w:space="0"/>
              <w:left w:val="single" w:color="000000" w:sz="4" w:space="0"/>
              <w:bottom w:val="single" w:color="000000" w:sz="4" w:space="0"/>
              <w:right w:val="single" w:color="000000" w:sz="4" w:space="0"/>
            </w:tcBorders>
            <w:vAlign w:val="bottom"/>
          </w:tcPr>
          <w:p w14:paraId="000000B6">
            <w:pPr>
              <w:jc w:val="center"/>
              <w:rPr>
                <w:sz w:val="22"/>
                <w:szCs w:val="22"/>
              </w:rPr>
            </w:pPr>
            <w:r>
              <w:rPr>
                <w:rFonts w:ascii="Cambria" w:hint="default"/>
                <w:b w:val="off"/>
                <w:bCs w:val="off"/>
                <w:i w:val="off"/>
                <w:iCs w:val="off"/>
                <w:caps w:val="off"/>
                <w:smallCaps w:val="off"/>
                <w:outline w:val="off"/>
                <w:shadow w:val="off"/>
                <w:emboss w:val="off"/>
                <w:imprint w:val="off"/>
                <w:vanish w:val="off"/>
                <w:color w:val="000000"/>
                <w:spacing w:val="0"/>
                <w:w w:val="100"/>
                <w:position w:val="0"/>
                <w:sz w:val="20"/>
                <w:szCs w:val="20"/>
                <w:highlight w:val="none"/>
                <w:u w:val="none"/>
                <w:bdr w:val="nil" w:sz="4" w:space="0"/>
                <w:shd w:val="nil" w:color="auto" w:fill="auto"/>
                <w:vertAlign w:val="baseline"/>
                <w:rtl w:val="off"/>
                <w:cs w:val="off"/>
              </w:rPr>
              <w:t>4</w:t>
            </w:r>
          </w:p>
        </w:tc>
        <w:tc>
          <w:tcPr>
            <w:cnfStyle w:val="000000010000"/>
            <w:tcW w:w="1423" w:type="dxa"/>
          </w:tcPr>
          <w:p w14:paraId="000000B7">
            <w:pPr>
              <w:jc w:val="center"/>
              <w:rPr>
                <w:sz w:val="22"/>
                <w:szCs w:val="22"/>
              </w:rPr>
            </w:pPr>
          </w:p>
        </w:tc>
        <w:tc>
          <w:tcPr>
            <w:cnfStyle w:val="000000010000"/>
            <w:tcW w:w="905" w:type="dxa"/>
          </w:tcPr>
          <w:p w14:paraId="000000B8">
            <w:pPr>
              <w:jc w:val="center"/>
              <w:rPr>
                <w:sz w:val="22"/>
                <w:szCs w:val="22"/>
              </w:rPr>
            </w:pPr>
          </w:p>
        </w:tc>
        <w:tc>
          <w:tcPr>
            <w:cnfStyle w:val="000000010000"/>
            <w:tcW w:w="1330" w:type="dxa"/>
          </w:tcPr>
          <w:p w14:paraId="000000B9">
            <w:pPr>
              <w:jc w:val="center"/>
              <w:rPr>
                <w:sz w:val="22"/>
                <w:szCs w:val="22"/>
              </w:rPr>
            </w:pPr>
          </w:p>
        </w:tc>
        <w:tc>
          <w:tcPr>
            <w:cnfStyle w:val="000000010000"/>
            <w:tcW w:w="3713" w:type="dxa"/>
          </w:tcPr>
          <w:p w14:paraId="000000BA">
            <w:pPr>
              <w:rPr>
                <w:sz w:val="20"/>
                <w:szCs w:val="20"/>
                <w:lang w:val="en-US"/>
              </w:rPr>
            </w:pPr>
          </w:p>
        </w:tc>
        <w:tc>
          <w:tcPr>
            <w:cnfStyle w:val="000000010000"/>
            <w:tcW w:w="1985" w:type="dxa"/>
          </w:tcPr>
          <w:p w14:paraId="000000BB">
            <w:pPr>
              <w:jc w:val="center"/>
              <w:rPr>
                <w:sz w:val="22"/>
                <w:szCs w:val="22"/>
              </w:rPr>
            </w:pPr>
          </w:p>
        </w:tc>
      </w:tr>
      <w:tr>
        <w:trPr>
          <w:cnfStyle w:val="000000100000"/>
        </w:trPr>
        <w:tc>
          <w:tcPr>
            <w:cnfStyle w:val="001000100000"/>
            <w:tcW w:w="562" w:type="dxa"/>
          </w:tcPr>
          <w:p w14:paraId="000000BC">
            <w:pPr>
              <w:rPr>
                <w:sz w:val="22"/>
                <w:szCs w:val="22"/>
              </w:rPr>
            </w:pPr>
            <w:r>
              <w:rPr>
                <w:sz w:val="22"/>
                <w:szCs w:val="22"/>
              </w:rPr>
              <w:t>5</w:t>
            </w:r>
          </w:p>
        </w:tc>
        <w:tc>
          <w:tcPr>
            <w:cnfStyle w:val="000000100000"/>
            <w:tcW w:w="2415" w:type="dxa"/>
            <w:tcBorders>
              <w:top w:val="single" w:color="000000" w:sz="4" w:space="0"/>
              <w:left w:val="single" w:color="000000" w:sz="4" w:space="0"/>
              <w:bottom w:val="single" w:color="000000" w:sz="4" w:space="0"/>
              <w:right w:val="single" w:color="000000" w:sz="4" w:space="0"/>
            </w:tcBorders>
            <w:vAlign w:val="bottom"/>
          </w:tcPr>
          <w:p w14:paraId="000000BD">
            <w:pPr>
              <w:jc w:val="center"/>
              <w:rPr>
                <w:sz w:val="22"/>
                <w:szCs w:val="22"/>
              </w:rPr>
            </w:pPr>
            <w:r>
              <w:rPr>
                <w:rFonts w:ascii="Cambria" w:hint="default"/>
                <w:b w:val="off"/>
                <w:bCs w:val="off"/>
                <w:i w:val="off"/>
                <w:iCs w:val="off"/>
                <w:caps w:val="off"/>
                <w:smallCaps w:val="off"/>
                <w:outline w:val="off"/>
                <w:shadow w:val="off"/>
                <w:emboss w:val="off"/>
                <w:imprint w:val="off"/>
                <w:vanish w:val="off"/>
                <w:color w:val="000000"/>
                <w:spacing w:val="0"/>
                <w:w w:val="100"/>
                <w:position w:val="0"/>
                <w:sz w:val="20"/>
                <w:szCs w:val="20"/>
                <w:highlight w:val="none"/>
                <w:u w:val="none"/>
                <w:bdr w:val="nil" w:sz="4" w:space="0"/>
                <w:shd w:val="nil" w:color="auto" w:fill="auto"/>
                <w:vertAlign w:val="baseline"/>
                <w:rtl w:val="off"/>
                <w:cs w:val="off"/>
              </w:rPr>
              <w:t xml:space="preserve">Похвальный лист «За отличные успехи в учении» </w:t>
            </w:r>
          </w:p>
        </w:tc>
        <w:tc>
          <w:tcPr>
            <w:cnfStyle w:val="000000100000"/>
            <w:tcW w:w="1134" w:type="dxa"/>
            <w:tcBorders>
              <w:top w:val="single" w:color="000000" w:sz="4" w:space="0"/>
              <w:left w:val="single" w:color="000000" w:sz="4" w:space="0"/>
              <w:bottom w:val="single" w:color="000000" w:sz="4" w:space="0"/>
              <w:right w:val="single" w:color="000000" w:sz="4" w:space="0"/>
            </w:tcBorders>
            <w:vAlign w:val="center"/>
          </w:tcPr>
          <w:p w14:paraId="000000BE">
            <w:pPr>
              <w:jc w:val="center"/>
              <w:rPr>
                <w:sz w:val="22"/>
                <w:szCs w:val="22"/>
              </w:rPr>
            </w:pPr>
            <w:r>
              <w:rPr>
                <w:rFonts w:ascii="Times New Roman" w:hint="default"/>
                <w:b w:val="off"/>
                <w:bCs w:val="off"/>
                <w:i w:val="off"/>
                <w:iCs w:val="off"/>
                <w:caps w:val="off"/>
                <w:smallCaps w:val="off"/>
                <w:outline w:val="off"/>
                <w:shadow w:val="off"/>
                <w:emboss w:val="off"/>
                <w:imprint w:val="off"/>
                <w:vanish w:val="off"/>
                <w:color w:val="000000"/>
                <w:spacing w:val="0"/>
                <w:w w:val="100"/>
                <w:position w:val="0"/>
                <w:sz w:val="16"/>
                <w:szCs w:val="20"/>
                <w:highlight w:val="none"/>
                <w:u w:val="none"/>
                <w:bdr w:val="nil" w:sz="4" w:space="0"/>
                <w:shd w:val="nil" w:color="auto" w:fill="auto"/>
                <w:vertAlign w:val="baseline"/>
                <w:rtl w:val="off"/>
                <w:cs w:val="off"/>
              </w:rPr>
              <w:t>шт.</w:t>
            </w:r>
          </w:p>
        </w:tc>
        <w:tc>
          <w:tcPr>
            <w:cnfStyle w:val="000000100000"/>
            <w:tcW w:w="992" w:type="dxa"/>
            <w:tcBorders>
              <w:top w:val="single" w:color="000000" w:sz="4" w:space="0"/>
              <w:left w:val="single" w:color="000000" w:sz="4" w:space="0"/>
              <w:bottom w:val="single" w:color="000000" w:sz="4" w:space="0"/>
              <w:right w:val="single" w:color="000000" w:sz="4" w:space="0"/>
            </w:tcBorders>
            <w:vAlign w:val="bottom"/>
          </w:tcPr>
          <w:p w14:paraId="000000BF">
            <w:pPr>
              <w:jc w:val="center"/>
              <w:rPr>
                <w:sz w:val="22"/>
                <w:szCs w:val="22"/>
              </w:rPr>
            </w:pPr>
            <w:r>
              <w:rPr>
                <w:rFonts w:ascii="Cambria" w:hint="default"/>
                <w:b w:val="off"/>
                <w:bCs w:val="off"/>
                <w:i w:val="off"/>
                <w:iCs w:val="off"/>
                <w:caps w:val="off"/>
                <w:smallCaps w:val="off"/>
                <w:outline w:val="off"/>
                <w:shadow w:val="off"/>
                <w:emboss w:val="off"/>
                <w:imprint w:val="off"/>
                <w:vanish w:val="off"/>
                <w:color w:val="000000"/>
                <w:spacing w:val="0"/>
                <w:w w:val="100"/>
                <w:position w:val="0"/>
                <w:sz w:val="20"/>
                <w:szCs w:val="20"/>
                <w:highlight w:val="none"/>
                <w:u w:val="none"/>
                <w:bdr w:val="nil" w:sz="4" w:space="0"/>
                <w:shd w:val="nil" w:color="auto" w:fill="auto"/>
                <w:vertAlign w:val="baseline"/>
                <w:rtl w:val="off"/>
                <w:cs w:val="off"/>
              </w:rPr>
              <w:t>100</w:t>
            </w:r>
          </w:p>
        </w:tc>
        <w:tc>
          <w:tcPr>
            <w:cnfStyle w:val="000000100000"/>
            <w:tcW w:w="1423" w:type="dxa"/>
          </w:tcPr>
          <w:p w14:paraId="000000C0">
            <w:pPr>
              <w:jc w:val="center"/>
              <w:rPr>
                <w:sz w:val="22"/>
                <w:szCs w:val="22"/>
              </w:rPr>
            </w:pPr>
          </w:p>
        </w:tc>
        <w:tc>
          <w:tcPr>
            <w:cnfStyle w:val="000000100000"/>
            <w:tcW w:w="905" w:type="dxa"/>
          </w:tcPr>
          <w:p w14:paraId="000000C1">
            <w:pPr>
              <w:jc w:val="center"/>
              <w:rPr>
                <w:sz w:val="22"/>
                <w:szCs w:val="22"/>
              </w:rPr>
            </w:pPr>
          </w:p>
        </w:tc>
        <w:tc>
          <w:tcPr>
            <w:cnfStyle w:val="000000100000"/>
            <w:tcW w:w="1330" w:type="dxa"/>
          </w:tcPr>
          <w:p w14:paraId="000000C2">
            <w:pPr>
              <w:jc w:val="center"/>
              <w:rPr>
                <w:sz w:val="22"/>
                <w:szCs w:val="22"/>
              </w:rPr>
            </w:pPr>
          </w:p>
        </w:tc>
        <w:tc>
          <w:tcPr>
            <w:cnfStyle w:val="000000100000"/>
            <w:tcW w:w="3713" w:type="dxa"/>
          </w:tcPr>
          <w:p w14:paraId="000000C3">
            <w:pPr>
              <w:rPr>
                <w:sz w:val="20"/>
                <w:szCs w:val="20"/>
                <w:lang w:val="en-US"/>
              </w:rPr>
            </w:pPr>
          </w:p>
        </w:tc>
        <w:tc>
          <w:tcPr>
            <w:cnfStyle w:val="000000100000"/>
            <w:tcW w:w="1985" w:type="dxa"/>
          </w:tcPr>
          <w:p w14:paraId="000000C4">
            <w:pPr>
              <w:jc w:val="center"/>
              <w:rPr>
                <w:sz w:val="22"/>
                <w:szCs w:val="22"/>
              </w:rPr>
            </w:pPr>
          </w:p>
        </w:tc>
      </w:tr>
      <w:tr>
        <w:trPr>
          <w:cnfStyle w:val="000000010000"/>
        </w:trPr>
        <w:tc>
          <w:tcPr>
            <w:cnfStyle w:val="001000010000"/>
            <w:tcW w:w="562" w:type="dxa"/>
          </w:tcPr>
          <w:p w14:paraId="000000C5">
            <w:pPr>
              <w:rPr>
                <w:sz w:val="22"/>
                <w:szCs w:val="22"/>
              </w:rPr>
            </w:pPr>
            <w:r>
              <w:rPr>
                <w:sz w:val="22"/>
                <w:szCs w:val="22"/>
              </w:rPr>
              <w:t>6</w:t>
            </w:r>
          </w:p>
        </w:tc>
        <w:tc>
          <w:tcPr>
            <w:cnfStyle w:val="000000010000"/>
            <w:tcW w:w="2415" w:type="dxa"/>
            <w:tcBorders>
              <w:top w:val="single" w:color="000000" w:sz="4" w:space="0"/>
              <w:left w:val="single" w:color="000000" w:sz="4" w:space="0"/>
              <w:bottom w:val="single" w:color="000000" w:sz="4" w:space="0"/>
              <w:right w:val="single" w:color="000000" w:sz="4" w:space="0"/>
            </w:tcBorders>
            <w:vAlign w:val="bottom"/>
          </w:tcPr>
          <w:p w14:paraId="000000C6">
            <w:pPr>
              <w:jc w:val="center"/>
              <w:rPr>
                <w:sz w:val="22"/>
                <w:szCs w:val="22"/>
              </w:rPr>
            </w:pPr>
            <w:r>
              <w:rPr>
                <w:rFonts w:ascii="Cambria" w:hint="default"/>
                <w:b w:val="off"/>
                <w:bCs w:val="off"/>
                <w:i w:val="off"/>
                <w:iCs w:val="off"/>
                <w:caps w:val="off"/>
                <w:smallCaps w:val="off"/>
                <w:outline w:val="off"/>
                <w:shadow w:val="off"/>
                <w:emboss w:val="off"/>
                <w:imprint w:val="off"/>
                <w:vanish w:val="off"/>
                <w:color w:val="000000"/>
                <w:spacing w:val="0"/>
                <w:w w:val="100"/>
                <w:position w:val="0"/>
                <w:sz w:val="20"/>
                <w:szCs w:val="20"/>
                <w:highlight w:val="none"/>
                <w:u w:val="none"/>
                <w:bdr w:val="nil" w:sz="4" w:space="0"/>
                <w:shd w:val="nil" w:color="auto" w:fill="auto"/>
                <w:vertAlign w:val="baseline"/>
                <w:rtl w:val="off"/>
                <w:cs w:val="off"/>
              </w:rPr>
              <w:t>Спортивная грамота</w:t>
            </w:r>
          </w:p>
        </w:tc>
        <w:tc>
          <w:tcPr>
            <w:cnfStyle w:val="000000010000"/>
            <w:tcW w:w="1134" w:type="dxa"/>
            <w:tcBorders>
              <w:top w:val="single" w:color="000000" w:sz="4" w:space="0"/>
              <w:left w:val="single" w:color="000000" w:sz="4" w:space="0"/>
              <w:bottom w:val="single" w:color="000000" w:sz="4" w:space="0"/>
              <w:right w:val="single" w:color="000000" w:sz="4" w:space="0"/>
            </w:tcBorders>
            <w:vAlign w:val="center"/>
          </w:tcPr>
          <w:p w14:paraId="000000C7">
            <w:pPr>
              <w:jc w:val="center"/>
              <w:rPr>
                <w:sz w:val="22"/>
                <w:szCs w:val="22"/>
              </w:rPr>
            </w:pPr>
            <w:r>
              <w:rPr>
                <w:rFonts w:ascii="Times New Roman" w:hint="default"/>
                <w:b w:val="off"/>
                <w:bCs w:val="off"/>
                <w:i w:val="off"/>
                <w:iCs w:val="off"/>
                <w:caps w:val="off"/>
                <w:smallCaps w:val="off"/>
                <w:outline w:val="off"/>
                <w:shadow w:val="off"/>
                <w:emboss w:val="off"/>
                <w:imprint w:val="off"/>
                <w:vanish w:val="off"/>
                <w:color w:val="000000"/>
                <w:spacing w:val="0"/>
                <w:w w:val="100"/>
                <w:position w:val="0"/>
                <w:sz w:val="16"/>
                <w:szCs w:val="20"/>
                <w:highlight w:val="none"/>
                <w:u w:val="none"/>
                <w:bdr w:val="nil" w:sz="4" w:space="0"/>
                <w:shd w:val="nil" w:color="auto" w:fill="auto"/>
                <w:vertAlign w:val="baseline"/>
                <w:rtl w:val="off"/>
                <w:cs w:val="off"/>
              </w:rPr>
              <w:t>шт.</w:t>
            </w:r>
          </w:p>
        </w:tc>
        <w:tc>
          <w:tcPr>
            <w:cnfStyle w:val="000000010000"/>
            <w:tcW w:w="992" w:type="dxa"/>
            <w:tcBorders>
              <w:top w:val="single" w:color="000000" w:sz="4" w:space="0"/>
              <w:left w:val="single" w:color="000000" w:sz="4" w:space="0"/>
              <w:bottom w:val="single" w:color="000000" w:sz="4" w:space="0"/>
              <w:right w:val="single" w:color="000000" w:sz="4" w:space="0"/>
            </w:tcBorders>
            <w:vAlign w:val="bottom"/>
          </w:tcPr>
          <w:p w14:paraId="000000C8">
            <w:pPr>
              <w:jc w:val="center"/>
              <w:rPr>
                <w:sz w:val="22"/>
                <w:szCs w:val="22"/>
              </w:rPr>
            </w:pPr>
            <w:r>
              <w:rPr>
                <w:rFonts w:ascii="Cambria" w:hint="default"/>
                <w:b w:val="off"/>
                <w:bCs w:val="off"/>
                <w:i w:val="off"/>
                <w:iCs w:val="off"/>
                <w:caps w:val="off"/>
                <w:smallCaps w:val="off"/>
                <w:outline w:val="off"/>
                <w:shadow w:val="off"/>
                <w:emboss w:val="off"/>
                <w:imprint w:val="off"/>
                <w:vanish w:val="off"/>
                <w:color w:val="000000"/>
                <w:spacing w:val="0"/>
                <w:w w:val="100"/>
                <w:position w:val="0"/>
                <w:sz w:val="20"/>
                <w:szCs w:val="20"/>
                <w:highlight w:val="none"/>
                <w:u w:val="none"/>
                <w:bdr w:val="nil" w:sz="4" w:space="0"/>
                <w:shd w:val="nil" w:color="auto" w:fill="auto"/>
                <w:vertAlign w:val="baseline"/>
                <w:rtl w:val="off"/>
                <w:cs w:val="off"/>
              </w:rPr>
              <w:t>50</w:t>
            </w:r>
          </w:p>
        </w:tc>
        <w:tc>
          <w:tcPr>
            <w:cnfStyle w:val="000000010000"/>
            <w:tcW w:w="1423" w:type="dxa"/>
          </w:tcPr>
          <w:p w14:paraId="000000C9">
            <w:pPr>
              <w:jc w:val="center"/>
              <w:rPr>
                <w:sz w:val="22"/>
                <w:szCs w:val="22"/>
              </w:rPr>
            </w:pPr>
          </w:p>
        </w:tc>
        <w:tc>
          <w:tcPr>
            <w:cnfStyle w:val="000000010000"/>
            <w:tcW w:w="905" w:type="dxa"/>
          </w:tcPr>
          <w:p w14:paraId="000000CA">
            <w:pPr>
              <w:jc w:val="center"/>
              <w:rPr>
                <w:sz w:val="22"/>
                <w:szCs w:val="22"/>
              </w:rPr>
            </w:pPr>
          </w:p>
        </w:tc>
        <w:tc>
          <w:tcPr>
            <w:cnfStyle w:val="000000010000"/>
            <w:tcW w:w="1330" w:type="dxa"/>
          </w:tcPr>
          <w:p w14:paraId="000000CB">
            <w:pPr>
              <w:jc w:val="center"/>
              <w:rPr>
                <w:sz w:val="22"/>
                <w:szCs w:val="22"/>
              </w:rPr>
            </w:pPr>
          </w:p>
        </w:tc>
        <w:tc>
          <w:tcPr>
            <w:cnfStyle w:val="000000010000"/>
            <w:tcW w:w="3713" w:type="dxa"/>
          </w:tcPr>
          <w:p w14:paraId="000000CC">
            <w:pPr>
              <w:rPr>
                <w:sz w:val="20"/>
                <w:szCs w:val="20"/>
                <w:lang w:val="en-US"/>
              </w:rPr>
            </w:pPr>
          </w:p>
        </w:tc>
        <w:tc>
          <w:tcPr>
            <w:cnfStyle w:val="000000010000"/>
            <w:tcW w:w="1985" w:type="dxa"/>
          </w:tcPr>
          <w:p w14:paraId="000000CD">
            <w:pPr>
              <w:jc w:val="center"/>
              <w:rPr>
                <w:sz w:val="22"/>
                <w:szCs w:val="22"/>
              </w:rPr>
            </w:pPr>
          </w:p>
        </w:tc>
      </w:tr>
      <w:tr>
        <w:trPr>
          <w:cnfStyle w:val="000000100000"/>
        </w:trPr>
        <w:tc>
          <w:tcPr>
            <w:cnfStyle w:val="001000100000"/>
            <w:tcW w:w="562" w:type="dxa"/>
          </w:tcPr>
          <w:p w14:paraId="000000CE">
            <w:pPr>
              <w:rPr>
                <w:sz w:val="22"/>
                <w:szCs w:val="22"/>
              </w:rPr>
            </w:pPr>
            <w:r>
              <w:rPr>
                <w:sz w:val="22"/>
                <w:szCs w:val="22"/>
              </w:rPr>
              <w:t>7</w:t>
            </w:r>
          </w:p>
        </w:tc>
        <w:tc>
          <w:tcPr>
            <w:cnfStyle w:val="000000100000"/>
            <w:tcW w:w="2415" w:type="dxa"/>
            <w:tcBorders>
              <w:top w:val="single" w:color="000000" w:sz="4" w:space="0"/>
              <w:left w:val="single" w:color="000000" w:sz="4" w:space="0"/>
              <w:bottom w:val="single" w:color="000000" w:sz="4" w:space="0"/>
              <w:right w:val="single" w:color="000000" w:sz="4" w:space="0"/>
            </w:tcBorders>
            <w:vAlign w:val="bottom"/>
          </w:tcPr>
          <w:p w14:paraId="000000CF">
            <w:pPr>
              <w:jc w:val="center"/>
              <w:rPr>
                <w:sz w:val="22"/>
                <w:szCs w:val="22"/>
              </w:rPr>
            </w:pPr>
            <w:r>
              <w:rPr>
                <w:rFonts w:ascii="Cambria" w:hint="default"/>
                <w:b w:val="off"/>
                <w:bCs w:val="off"/>
                <w:i w:val="off"/>
                <w:iCs w:val="off"/>
                <w:caps w:val="off"/>
                <w:smallCaps w:val="off"/>
                <w:outline w:val="off"/>
                <w:shadow w:val="off"/>
                <w:emboss w:val="off"/>
                <w:imprint w:val="off"/>
                <w:vanish w:val="off"/>
                <w:color w:val="000000"/>
                <w:spacing w:val="0"/>
                <w:w w:val="100"/>
                <w:position w:val="0"/>
                <w:sz w:val="20"/>
                <w:szCs w:val="20"/>
                <w:highlight w:val="none"/>
                <w:u w:val="none"/>
                <w:bdr w:val="nil" w:sz="4" w:space="0"/>
                <w:shd w:val="nil" w:color="auto" w:fill="auto"/>
                <w:vertAlign w:val="baseline"/>
                <w:rtl w:val="off"/>
                <w:cs w:val="off"/>
              </w:rPr>
              <w:t xml:space="preserve">Благодарственное письмо </w:t>
            </w:r>
          </w:p>
        </w:tc>
        <w:tc>
          <w:tcPr>
            <w:cnfStyle w:val="000000100000"/>
            <w:tcW w:w="1134" w:type="dxa"/>
            <w:tcBorders>
              <w:top w:val="single" w:color="000000" w:sz="4" w:space="0"/>
              <w:left w:val="single" w:color="000000" w:sz="4" w:space="0"/>
              <w:bottom w:val="single" w:color="000000" w:sz="4" w:space="0"/>
              <w:right w:val="single" w:color="000000" w:sz="4" w:space="0"/>
            </w:tcBorders>
            <w:vAlign w:val="center"/>
          </w:tcPr>
          <w:p w14:paraId="000000D0">
            <w:pPr>
              <w:jc w:val="center"/>
              <w:rPr>
                <w:sz w:val="22"/>
                <w:szCs w:val="22"/>
              </w:rPr>
            </w:pPr>
            <w:r>
              <w:rPr>
                <w:rFonts w:ascii="Times New Roman" w:hint="default"/>
                <w:b w:val="off"/>
                <w:bCs w:val="off"/>
                <w:i w:val="off"/>
                <w:iCs w:val="off"/>
                <w:caps w:val="off"/>
                <w:smallCaps w:val="off"/>
                <w:outline w:val="off"/>
                <w:shadow w:val="off"/>
                <w:emboss w:val="off"/>
                <w:imprint w:val="off"/>
                <w:vanish w:val="off"/>
                <w:color w:val="000000"/>
                <w:spacing w:val="0"/>
                <w:w w:val="100"/>
                <w:position w:val="0"/>
                <w:sz w:val="16"/>
                <w:szCs w:val="20"/>
                <w:highlight w:val="none"/>
                <w:u w:val="none"/>
                <w:bdr w:val="nil" w:sz="4" w:space="0"/>
                <w:shd w:val="nil" w:color="auto" w:fill="auto"/>
                <w:vertAlign w:val="baseline"/>
                <w:rtl w:val="off"/>
                <w:cs w:val="off"/>
              </w:rPr>
              <w:t>шт.</w:t>
            </w:r>
          </w:p>
        </w:tc>
        <w:tc>
          <w:tcPr>
            <w:cnfStyle w:val="000000100000"/>
            <w:tcW w:w="992" w:type="dxa"/>
            <w:tcBorders>
              <w:top w:val="single" w:color="000000" w:sz="4" w:space="0"/>
              <w:left w:val="single" w:color="000000" w:sz="4" w:space="0"/>
              <w:bottom w:val="single" w:color="000000" w:sz="4" w:space="0"/>
              <w:right w:val="single" w:color="000000" w:sz="4" w:space="0"/>
            </w:tcBorders>
            <w:vAlign w:val="bottom"/>
          </w:tcPr>
          <w:p w14:paraId="000000D1">
            <w:pPr>
              <w:jc w:val="center"/>
              <w:rPr>
                <w:sz w:val="22"/>
                <w:szCs w:val="22"/>
              </w:rPr>
            </w:pPr>
            <w:r>
              <w:rPr>
                <w:rFonts w:ascii="Cambria" w:hint="default"/>
                <w:b w:val="off"/>
                <w:bCs w:val="off"/>
                <w:i w:val="off"/>
                <w:iCs w:val="off"/>
                <w:caps w:val="off"/>
                <w:smallCaps w:val="off"/>
                <w:outline w:val="off"/>
                <w:shadow w:val="off"/>
                <w:emboss w:val="off"/>
                <w:imprint w:val="off"/>
                <w:vanish w:val="off"/>
                <w:color w:val="000000"/>
                <w:spacing w:val="0"/>
                <w:w w:val="100"/>
                <w:position w:val="0"/>
                <w:sz w:val="20"/>
                <w:szCs w:val="20"/>
                <w:highlight w:val="none"/>
                <w:u w:val="none"/>
                <w:bdr w:val="nil" w:sz="4" w:space="0"/>
                <w:shd w:val="nil" w:color="auto" w:fill="auto"/>
                <w:vertAlign w:val="baseline"/>
                <w:rtl w:val="off"/>
                <w:cs w:val="off"/>
              </w:rPr>
              <w:t>50</w:t>
            </w:r>
          </w:p>
        </w:tc>
        <w:tc>
          <w:tcPr>
            <w:cnfStyle w:val="000000100000"/>
            <w:tcW w:w="1423" w:type="dxa"/>
          </w:tcPr>
          <w:p w14:paraId="000000D2">
            <w:pPr>
              <w:jc w:val="center"/>
              <w:rPr>
                <w:sz w:val="22"/>
                <w:szCs w:val="22"/>
              </w:rPr>
            </w:pPr>
          </w:p>
        </w:tc>
        <w:tc>
          <w:tcPr>
            <w:cnfStyle w:val="000000100000"/>
            <w:tcW w:w="905" w:type="dxa"/>
          </w:tcPr>
          <w:p w14:paraId="000000D3">
            <w:pPr>
              <w:jc w:val="center"/>
              <w:rPr>
                <w:sz w:val="22"/>
                <w:szCs w:val="22"/>
              </w:rPr>
            </w:pPr>
          </w:p>
        </w:tc>
        <w:tc>
          <w:tcPr>
            <w:cnfStyle w:val="000000100000"/>
            <w:tcW w:w="1330" w:type="dxa"/>
          </w:tcPr>
          <w:p w14:paraId="000000D4">
            <w:pPr>
              <w:jc w:val="center"/>
              <w:rPr>
                <w:sz w:val="22"/>
                <w:szCs w:val="22"/>
              </w:rPr>
            </w:pPr>
          </w:p>
        </w:tc>
        <w:tc>
          <w:tcPr>
            <w:cnfStyle w:val="000000100000"/>
            <w:tcW w:w="3713" w:type="dxa"/>
          </w:tcPr>
          <w:p w14:paraId="000000D5">
            <w:pPr>
              <w:rPr>
                <w:sz w:val="20"/>
                <w:szCs w:val="20"/>
                <w:lang w:val="en-US"/>
              </w:rPr>
            </w:pPr>
          </w:p>
        </w:tc>
        <w:tc>
          <w:tcPr>
            <w:cnfStyle w:val="000000100000"/>
            <w:tcW w:w="1985" w:type="dxa"/>
          </w:tcPr>
          <w:p w14:paraId="000000D6">
            <w:pPr>
              <w:jc w:val="center"/>
              <w:rPr>
                <w:sz w:val="22"/>
                <w:szCs w:val="22"/>
              </w:rPr>
            </w:pPr>
          </w:p>
        </w:tc>
      </w:tr>
      <w:tr>
        <w:trPr>
          <w:cnfStyle w:val="000000010000"/>
        </w:trPr>
        <w:tc>
          <w:tcPr>
            <w:cnfStyle w:val="001000010000"/>
            <w:tcW w:w="562" w:type="dxa"/>
          </w:tcPr>
          <w:p w14:paraId="000000D7">
            <w:pPr>
              <w:rPr>
                <w:sz w:val="22"/>
                <w:szCs w:val="22"/>
              </w:rPr>
            </w:pPr>
            <w:r>
              <w:rPr>
                <w:sz w:val="22"/>
                <w:szCs w:val="22"/>
              </w:rPr>
              <w:t>8</w:t>
            </w:r>
          </w:p>
        </w:tc>
        <w:tc>
          <w:tcPr>
            <w:cnfStyle w:val="000000010000"/>
            <w:tcW w:w="2415" w:type="dxa"/>
            <w:tcBorders>
              <w:top w:val="single" w:color="000000" w:sz="4" w:space="0"/>
              <w:left w:val="single" w:color="000000" w:sz="4" w:space="0"/>
              <w:bottom w:val="single" w:color="000000" w:sz="4" w:space="0"/>
              <w:right w:val="single" w:color="000000" w:sz="4" w:space="0"/>
            </w:tcBorders>
            <w:vAlign w:val="bottom"/>
          </w:tcPr>
          <w:p w14:paraId="000000D8">
            <w:pPr>
              <w:jc w:val="center"/>
              <w:rPr>
                <w:sz w:val="22"/>
                <w:szCs w:val="22"/>
              </w:rPr>
            </w:pPr>
            <w:r>
              <w:rPr>
                <w:rFonts w:ascii="Cambria" w:hint="default"/>
                <w:b w:val="off"/>
                <w:bCs w:val="off"/>
                <w:i w:val="off"/>
                <w:iCs w:val="off"/>
                <w:caps w:val="off"/>
                <w:smallCaps w:val="off"/>
                <w:outline w:val="off"/>
                <w:shadow w:val="off"/>
                <w:emboss w:val="off"/>
                <w:imprint w:val="off"/>
                <w:vanish w:val="off"/>
                <w:color w:val="000000"/>
                <w:spacing w:val="0"/>
                <w:w w:val="100"/>
                <w:position w:val="0"/>
                <w:sz w:val="20"/>
                <w:szCs w:val="20"/>
                <w:highlight w:val="none"/>
                <w:u w:val="none"/>
                <w:bdr w:val="nil" w:sz="4" w:space="0"/>
                <w:shd w:val="nil" w:color="auto" w:fill="auto"/>
                <w:vertAlign w:val="baseline"/>
                <w:rtl w:val="off"/>
                <w:cs w:val="off"/>
              </w:rPr>
              <w:t xml:space="preserve">Бланк аттестата об основном общем образовании (титул+обложка) </w:t>
            </w:r>
          </w:p>
        </w:tc>
        <w:tc>
          <w:tcPr>
            <w:cnfStyle w:val="000000010000"/>
            <w:tcW w:w="1134" w:type="dxa"/>
            <w:tcBorders>
              <w:top w:val="single" w:color="000000" w:sz="4" w:space="0"/>
              <w:left w:val="single" w:color="000000" w:sz="4" w:space="0"/>
              <w:bottom w:val="single" w:color="000000" w:sz="4" w:space="0"/>
              <w:right w:val="single" w:color="000000" w:sz="4" w:space="0"/>
            </w:tcBorders>
            <w:vAlign w:val="center"/>
          </w:tcPr>
          <w:p w14:paraId="000000D9">
            <w:pPr>
              <w:jc w:val="center"/>
              <w:rPr>
                <w:sz w:val="22"/>
                <w:szCs w:val="22"/>
              </w:rPr>
            </w:pPr>
            <w:r>
              <w:rPr>
                <w:rFonts w:ascii="Times New Roman" w:hint="default"/>
                <w:b w:val="off"/>
                <w:bCs w:val="off"/>
                <w:i w:val="off"/>
                <w:iCs w:val="off"/>
                <w:caps w:val="off"/>
                <w:smallCaps w:val="off"/>
                <w:outline w:val="off"/>
                <w:shadow w:val="off"/>
                <w:emboss w:val="off"/>
                <w:imprint w:val="off"/>
                <w:vanish w:val="off"/>
                <w:color w:val="000000"/>
                <w:spacing w:val="0"/>
                <w:w w:val="100"/>
                <w:position w:val="0"/>
                <w:sz w:val="16"/>
                <w:szCs w:val="20"/>
                <w:highlight w:val="none"/>
                <w:u w:val="none"/>
                <w:bdr w:val="nil" w:sz="4" w:space="0"/>
                <w:shd w:val="nil" w:color="auto" w:fill="auto"/>
                <w:vertAlign w:val="baseline"/>
                <w:rtl w:val="off"/>
                <w:cs w:val="off"/>
              </w:rPr>
              <w:t>шт.</w:t>
            </w:r>
          </w:p>
        </w:tc>
        <w:tc>
          <w:tcPr>
            <w:cnfStyle w:val="000000010000"/>
            <w:tcW w:w="992" w:type="dxa"/>
            <w:tcBorders>
              <w:top w:val="single" w:color="000000" w:sz="4" w:space="0"/>
              <w:left w:val="single" w:color="000000" w:sz="4" w:space="0"/>
              <w:bottom w:val="single" w:color="000000" w:sz="4" w:space="0"/>
              <w:right w:val="single" w:color="000000" w:sz="4" w:space="0"/>
            </w:tcBorders>
            <w:vAlign w:val="bottom"/>
          </w:tcPr>
          <w:p w14:paraId="000000DA">
            <w:pPr>
              <w:jc w:val="center"/>
              <w:rPr>
                <w:sz w:val="22"/>
                <w:szCs w:val="22"/>
              </w:rPr>
            </w:pPr>
            <w:r>
              <w:rPr>
                <w:rFonts w:ascii="Cambria" w:hint="default"/>
                <w:b w:val="off"/>
                <w:bCs w:val="off"/>
                <w:i w:val="off"/>
                <w:iCs w:val="off"/>
                <w:caps w:val="off"/>
                <w:smallCaps w:val="off"/>
                <w:outline w:val="off"/>
                <w:shadow w:val="off"/>
                <w:emboss w:val="off"/>
                <w:imprint w:val="off"/>
                <w:vanish w:val="off"/>
                <w:color w:val="000000"/>
                <w:spacing w:val="0"/>
                <w:w w:val="100"/>
                <w:position w:val="0"/>
                <w:sz w:val="20"/>
                <w:szCs w:val="20"/>
                <w:highlight w:val="none"/>
                <w:u w:val="none"/>
                <w:bdr w:val="nil" w:sz="4" w:space="0"/>
                <w:shd w:val="nil" w:color="auto" w:fill="auto"/>
                <w:vertAlign w:val="baseline"/>
                <w:rtl w:val="off"/>
                <w:cs w:val="off"/>
              </w:rPr>
              <w:t>67</w:t>
            </w:r>
          </w:p>
        </w:tc>
        <w:tc>
          <w:tcPr>
            <w:cnfStyle w:val="000000010000"/>
            <w:tcW w:w="1423" w:type="dxa"/>
          </w:tcPr>
          <w:p w14:paraId="000000DB">
            <w:pPr>
              <w:jc w:val="center"/>
              <w:rPr>
                <w:sz w:val="22"/>
                <w:szCs w:val="22"/>
              </w:rPr>
            </w:pPr>
          </w:p>
        </w:tc>
        <w:tc>
          <w:tcPr>
            <w:cnfStyle w:val="000000010000"/>
            <w:tcW w:w="905" w:type="dxa"/>
          </w:tcPr>
          <w:p w14:paraId="000000DC">
            <w:pPr>
              <w:jc w:val="center"/>
              <w:rPr>
                <w:sz w:val="22"/>
                <w:szCs w:val="22"/>
              </w:rPr>
            </w:pPr>
          </w:p>
        </w:tc>
        <w:tc>
          <w:tcPr>
            <w:cnfStyle w:val="000000010000"/>
            <w:tcW w:w="1330" w:type="dxa"/>
          </w:tcPr>
          <w:p w14:paraId="000000DD">
            <w:pPr>
              <w:jc w:val="center"/>
              <w:rPr>
                <w:sz w:val="22"/>
                <w:szCs w:val="22"/>
              </w:rPr>
            </w:pPr>
          </w:p>
        </w:tc>
        <w:tc>
          <w:tcPr>
            <w:cnfStyle w:val="000000010000"/>
            <w:tcW w:w="3713" w:type="dxa"/>
          </w:tcPr>
          <w:p w14:paraId="000000DE">
            <w:pPr>
              <w:rPr>
                <w:sz w:val="20"/>
                <w:szCs w:val="20"/>
                <w:lang w:val="en-US"/>
              </w:rPr>
            </w:pPr>
          </w:p>
        </w:tc>
        <w:tc>
          <w:tcPr>
            <w:cnfStyle w:val="000000010000"/>
            <w:tcW w:w="1985" w:type="dxa"/>
          </w:tcPr>
          <w:p w14:paraId="000000DF">
            <w:pPr>
              <w:jc w:val="center"/>
              <w:rPr>
                <w:sz w:val="22"/>
                <w:szCs w:val="22"/>
              </w:rPr>
            </w:pPr>
          </w:p>
        </w:tc>
      </w:tr>
      <w:tr>
        <w:trPr>
          <w:cnfStyle w:val="000000100000"/>
        </w:trPr>
        <w:tc>
          <w:tcPr>
            <w:cnfStyle w:val="001000100000"/>
            <w:tcW w:w="562" w:type="dxa"/>
          </w:tcPr>
          <w:p w14:paraId="000000E0">
            <w:pPr>
              <w:rPr>
                <w:sz w:val="22"/>
                <w:szCs w:val="22"/>
              </w:rPr>
            </w:pPr>
            <w:r>
              <w:rPr>
                <w:sz w:val="22"/>
                <w:szCs w:val="22"/>
              </w:rPr>
              <w:t>9</w:t>
            </w:r>
          </w:p>
        </w:tc>
        <w:tc>
          <w:tcPr>
            <w:cnfStyle w:val="000000100000"/>
            <w:tcW w:w="2415" w:type="dxa"/>
            <w:tcBorders>
              <w:top w:val="single" w:color="000000" w:sz="4" w:space="0"/>
              <w:left w:val="single" w:color="000000" w:sz="4" w:space="0"/>
              <w:bottom w:val="single" w:color="000000" w:sz="4" w:space="0"/>
              <w:right w:val="single" w:color="000000" w:sz="4" w:space="0"/>
            </w:tcBorders>
            <w:vAlign w:val="bottom"/>
          </w:tcPr>
          <w:p w14:paraId="000000E1">
            <w:pPr>
              <w:jc w:val="center"/>
              <w:rPr>
                <w:sz w:val="22"/>
                <w:szCs w:val="22"/>
              </w:rPr>
            </w:pPr>
            <w:r>
              <w:rPr>
                <w:rFonts w:ascii="Cambria" w:hint="default"/>
                <w:b w:val="off"/>
                <w:bCs w:val="off"/>
                <w:i w:val="off"/>
                <w:iCs w:val="off"/>
                <w:caps w:val="off"/>
                <w:smallCaps w:val="off"/>
                <w:outline w:val="off"/>
                <w:shadow w:val="off"/>
                <w:emboss w:val="off"/>
                <w:imprint w:val="off"/>
                <w:vanish w:val="off"/>
                <w:color w:val="000000"/>
                <w:spacing w:val="0"/>
                <w:w w:val="100"/>
                <w:position w:val="0"/>
                <w:sz w:val="20"/>
                <w:szCs w:val="20"/>
                <w:highlight w:val="none"/>
                <w:u w:val="none"/>
                <w:bdr w:val="nil" w:sz="4" w:space="0"/>
                <w:shd w:val="nil" w:color="auto" w:fill="auto"/>
                <w:vertAlign w:val="baseline"/>
                <w:rtl w:val="off"/>
                <w:cs w:val="off"/>
              </w:rPr>
              <w:t xml:space="preserve">Бланк аттестата об основном общем образовании с отличием (титул+обложка) </w:t>
            </w:r>
          </w:p>
        </w:tc>
        <w:tc>
          <w:tcPr>
            <w:cnfStyle w:val="000000100000"/>
            <w:tcW w:w="1134" w:type="dxa"/>
            <w:tcBorders>
              <w:top w:val="single" w:color="000000" w:sz="4" w:space="0"/>
              <w:left w:val="single" w:color="000000" w:sz="4" w:space="0"/>
              <w:bottom w:val="single" w:color="000000" w:sz="4" w:space="0"/>
              <w:right w:val="single" w:color="000000" w:sz="4" w:space="0"/>
            </w:tcBorders>
            <w:vAlign w:val="center"/>
          </w:tcPr>
          <w:p w14:paraId="000000E2">
            <w:pPr>
              <w:jc w:val="center"/>
              <w:rPr>
                <w:sz w:val="22"/>
                <w:szCs w:val="22"/>
              </w:rPr>
            </w:pPr>
            <w:r>
              <w:rPr>
                <w:rFonts w:ascii="Times New Roman" w:hint="default"/>
                <w:b w:val="off"/>
                <w:bCs w:val="off"/>
                <w:i w:val="off"/>
                <w:iCs w:val="off"/>
                <w:caps w:val="off"/>
                <w:smallCaps w:val="off"/>
                <w:outline w:val="off"/>
                <w:shadow w:val="off"/>
                <w:emboss w:val="off"/>
                <w:imprint w:val="off"/>
                <w:vanish w:val="off"/>
                <w:color w:val="000000"/>
                <w:spacing w:val="0"/>
                <w:w w:val="100"/>
                <w:position w:val="0"/>
                <w:sz w:val="16"/>
                <w:szCs w:val="20"/>
                <w:highlight w:val="none"/>
                <w:u w:val="none"/>
                <w:bdr w:val="nil" w:sz="4" w:space="0"/>
                <w:shd w:val="nil" w:color="auto" w:fill="auto"/>
                <w:vertAlign w:val="baseline"/>
                <w:rtl w:val="off"/>
                <w:cs w:val="off"/>
              </w:rPr>
              <w:t>шт.</w:t>
            </w:r>
          </w:p>
        </w:tc>
        <w:tc>
          <w:tcPr>
            <w:cnfStyle w:val="000000100000"/>
            <w:tcW w:w="992" w:type="dxa"/>
            <w:tcBorders>
              <w:top w:val="single" w:color="000000" w:sz="4" w:space="0"/>
              <w:left w:val="single" w:color="000000" w:sz="4" w:space="0"/>
              <w:bottom w:val="single" w:color="000000" w:sz="4" w:space="0"/>
              <w:right w:val="single" w:color="000000" w:sz="4" w:space="0"/>
            </w:tcBorders>
            <w:vAlign w:val="bottom"/>
          </w:tcPr>
          <w:p w14:paraId="000000E3">
            <w:pPr>
              <w:jc w:val="center"/>
              <w:rPr>
                <w:sz w:val="22"/>
                <w:szCs w:val="22"/>
              </w:rPr>
            </w:pPr>
            <w:r>
              <w:rPr>
                <w:rFonts w:ascii="Cambria" w:hint="default"/>
                <w:b w:val="off"/>
                <w:bCs w:val="off"/>
                <w:i w:val="off"/>
                <w:iCs w:val="off"/>
                <w:caps w:val="off"/>
                <w:smallCaps w:val="off"/>
                <w:outline w:val="off"/>
                <w:shadow w:val="off"/>
                <w:emboss w:val="off"/>
                <w:imprint w:val="off"/>
                <w:vanish w:val="off"/>
                <w:color w:val="000000"/>
                <w:spacing w:val="0"/>
                <w:w w:val="100"/>
                <w:position w:val="0"/>
                <w:sz w:val="20"/>
                <w:szCs w:val="20"/>
                <w:highlight w:val="none"/>
                <w:u w:val="none"/>
                <w:bdr w:val="nil" w:sz="4" w:space="0"/>
                <w:shd w:val="nil" w:color="auto" w:fill="auto"/>
                <w:vertAlign w:val="baseline"/>
                <w:rtl w:val="off"/>
                <w:cs w:val="off"/>
              </w:rPr>
              <w:t>6</w:t>
            </w:r>
          </w:p>
        </w:tc>
        <w:tc>
          <w:tcPr>
            <w:cnfStyle w:val="000000100000"/>
            <w:tcW w:w="1423" w:type="dxa"/>
          </w:tcPr>
          <w:p w14:paraId="000000E4">
            <w:pPr>
              <w:jc w:val="center"/>
              <w:rPr>
                <w:sz w:val="22"/>
                <w:szCs w:val="22"/>
              </w:rPr>
            </w:pPr>
          </w:p>
        </w:tc>
        <w:tc>
          <w:tcPr>
            <w:cnfStyle w:val="000000100000"/>
            <w:tcW w:w="905" w:type="dxa"/>
          </w:tcPr>
          <w:p w14:paraId="000000E5">
            <w:pPr>
              <w:jc w:val="center"/>
              <w:rPr>
                <w:sz w:val="22"/>
                <w:szCs w:val="22"/>
              </w:rPr>
            </w:pPr>
          </w:p>
        </w:tc>
        <w:tc>
          <w:tcPr>
            <w:cnfStyle w:val="000000100000"/>
            <w:tcW w:w="1330" w:type="dxa"/>
          </w:tcPr>
          <w:p w14:paraId="000000E6">
            <w:pPr>
              <w:jc w:val="center"/>
              <w:rPr>
                <w:sz w:val="22"/>
                <w:szCs w:val="22"/>
              </w:rPr>
            </w:pPr>
          </w:p>
        </w:tc>
        <w:tc>
          <w:tcPr>
            <w:cnfStyle w:val="000000100000"/>
            <w:tcW w:w="3713" w:type="dxa"/>
          </w:tcPr>
          <w:p w14:paraId="000000E7">
            <w:pPr>
              <w:rPr>
                <w:sz w:val="20"/>
                <w:szCs w:val="20"/>
                <w:lang w:val="en-US"/>
              </w:rPr>
            </w:pPr>
          </w:p>
        </w:tc>
        <w:tc>
          <w:tcPr>
            <w:cnfStyle w:val="000000100000"/>
            <w:tcW w:w="1985" w:type="dxa"/>
          </w:tcPr>
          <w:p w14:paraId="000000E8">
            <w:pPr>
              <w:jc w:val="center"/>
              <w:rPr>
                <w:sz w:val="22"/>
                <w:szCs w:val="22"/>
              </w:rPr>
            </w:pPr>
          </w:p>
        </w:tc>
      </w:tr>
      <w:tr>
        <w:trPr>
          <w:cnfStyle w:val="000000010000"/>
        </w:trPr>
        <w:tc>
          <w:tcPr>
            <w:cnfStyle w:val="001000010000"/>
            <w:tcW w:w="562" w:type="dxa"/>
          </w:tcPr>
          <w:p w14:paraId="000000E9">
            <w:pPr>
              <w:rPr>
                <w:sz w:val="22"/>
                <w:szCs w:val="22"/>
              </w:rPr>
            </w:pPr>
            <w:r>
              <w:rPr>
                <w:sz w:val="22"/>
                <w:szCs w:val="22"/>
              </w:rPr>
              <w:t>10</w:t>
            </w:r>
          </w:p>
        </w:tc>
        <w:tc>
          <w:tcPr>
            <w:cnfStyle w:val="000000010000"/>
            <w:tcW w:w="2415" w:type="dxa"/>
            <w:tcBorders>
              <w:top w:val="single" w:color="000000" w:sz="4" w:space="0"/>
              <w:left w:val="single" w:color="000000" w:sz="4" w:space="0"/>
              <w:bottom w:val="single" w:color="000000" w:sz="4" w:space="0"/>
              <w:right w:val="single" w:color="000000" w:sz="4" w:space="0"/>
            </w:tcBorders>
            <w:vAlign w:val="bottom"/>
          </w:tcPr>
          <w:p w14:paraId="000000EA">
            <w:pPr>
              <w:jc w:val="center"/>
              <w:rPr>
                <w:sz w:val="22"/>
                <w:szCs w:val="22"/>
              </w:rPr>
            </w:pPr>
            <w:r>
              <w:rPr>
                <w:rFonts w:ascii="Cambria" w:hint="default"/>
                <w:b w:val="off"/>
                <w:bCs w:val="off"/>
                <w:i w:val="off"/>
                <w:iCs w:val="off"/>
                <w:caps w:val="off"/>
                <w:smallCaps w:val="off"/>
                <w:outline w:val="off"/>
                <w:shadow w:val="off"/>
                <w:emboss w:val="off"/>
                <w:imprint w:val="off"/>
                <w:vanish w:val="off"/>
                <w:color w:val="000000"/>
                <w:spacing w:val="0"/>
                <w:w w:val="100"/>
                <w:position w:val="0"/>
                <w:sz w:val="20"/>
                <w:szCs w:val="20"/>
                <w:highlight w:val="none"/>
                <w:u w:val="none"/>
                <w:bdr w:val="nil" w:sz="4" w:space="0"/>
                <w:shd w:val="nil" w:color="auto" w:fill="auto"/>
                <w:vertAlign w:val="baseline"/>
                <w:rtl w:val="off"/>
                <w:cs w:val="off"/>
              </w:rPr>
              <w:t xml:space="preserve">Бланк приложения к аттестату о основном общем образовании </w:t>
            </w:r>
          </w:p>
        </w:tc>
        <w:tc>
          <w:tcPr>
            <w:cnfStyle w:val="000000010000"/>
            <w:tcW w:w="1134" w:type="dxa"/>
            <w:tcBorders>
              <w:top w:val="single" w:color="000000" w:sz="4" w:space="0"/>
              <w:left w:val="single" w:color="000000" w:sz="4" w:space="0"/>
              <w:bottom w:val="single" w:color="000000" w:sz="4" w:space="0"/>
              <w:right w:val="single" w:color="000000" w:sz="4" w:space="0"/>
            </w:tcBorders>
            <w:vAlign w:val="center"/>
          </w:tcPr>
          <w:p w14:paraId="000000EB">
            <w:pPr>
              <w:jc w:val="center"/>
              <w:rPr>
                <w:sz w:val="22"/>
                <w:szCs w:val="22"/>
              </w:rPr>
            </w:pPr>
            <w:r>
              <w:rPr>
                <w:rFonts w:ascii="Times New Roman" w:hint="default"/>
                <w:b w:val="off"/>
                <w:bCs w:val="off"/>
                <w:i w:val="off"/>
                <w:iCs w:val="off"/>
                <w:caps w:val="off"/>
                <w:smallCaps w:val="off"/>
                <w:outline w:val="off"/>
                <w:shadow w:val="off"/>
                <w:emboss w:val="off"/>
                <w:imprint w:val="off"/>
                <w:vanish w:val="off"/>
                <w:color w:val="000000"/>
                <w:spacing w:val="0"/>
                <w:w w:val="100"/>
                <w:position w:val="0"/>
                <w:sz w:val="16"/>
                <w:szCs w:val="20"/>
                <w:highlight w:val="none"/>
                <w:u w:val="none"/>
                <w:bdr w:val="nil" w:sz="4" w:space="0"/>
                <w:shd w:val="nil" w:color="auto" w:fill="auto"/>
                <w:vertAlign w:val="baseline"/>
                <w:rtl w:val="off"/>
                <w:cs w:val="off"/>
              </w:rPr>
              <w:t>шт.</w:t>
            </w:r>
          </w:p>
        </w:tc>
        <w:tc>
          <w:tcPr>
            <w:cnfStyle w:val="000000010000"/>
            <w:tcW w:w="992" w:type="dxa"/>
            <w:tcBorders>
              <w:top w:val="single" w:color="000000" w:sz="4" w:space="0"/>
              <w:left w:val="single" w:color="000000" w:sz="4" w:space="0"/>
              <w:bottom w:val="single" w:color="000000" w:sz="4" w:space="0"/>
              <w:right w:val="single" w:color="000000" w:sz="4" w:space="0"/>
            </w:tcBorders>
            <w:vAlign w:val="bottom"/>
          </w:tcPr>
          <w:p w14:paraId="000000EC">
            <w:pPr>
              <w:jc w:val="center"/>
              <w:rPr>
                <w:sz w:val="22"/>
                <w:szCs w:val="22"/>
              </w:rPr>
            </w:pPr>
            <w:r>
              <w:rPr>
                <w:rFonts w:ascii="Cambria" w:hint="default"/>
                <w:b w:val="off"/>
                <w:bCs w:val="off"/>
                <w:i w:val="off"/>
                <w:iCs w:val="off"/>
                <w:caps w:val="off"/>
                <w:smallCaps w:val="off"/>
                <w:outline w:val="off"/>
                <w:shadow w:val="off"/>
                <w:emboss w:val="off"/>
                <w:imprint w:val="off"/>
                <w:vanish w:val="off"/>
                <w:color w:val="000000"/>
                <w:spacing w:val="0"/>
                <w:w w:val="100"/>
                <w:position w:val="0"/>
                <w:sz w:val="20"/>
                <w:szCs w:val="20"/>
                <w:highlight w:val="none"/>
                <w:u w:val="none"/>
                <w:bdr w:val="nil" w:sz="4" w:space="0"/>
                <w:shd w:val="nil" w:color="auto" w:fill="auto"/>
                <w:vertAlign w:val="baseline"/>
                <w:rtl w:val="off"/>
                <w:cs w:val="off"/>
              </w:rPr>
              <w:t>73</w:t>
            </w:r>
          </w:p>
        </w:tc>
        <w:tc>
          <w:tcPr>
            <w:cnfStyle w:val="000000010000"/>
            <w:tcW w:w="1423" w:type="dxa"/>
          </w:tcPr>
          <w:p w14:paraId="000000ED">
            <w:pPr>
              <w:jc w:val="center"/>
              <w:rPr>
                <w:sz w:val="22"/>
                <w:szCs w:val="22"/>
              </w:rPr>
            </w:pPr>
          </w:p>
        </w:tc>
        <w:tc>
          <w:tcPr>
            <w:cnfStyle w:val="000000010000"/>
            <w:tcW w:w="905" w:type="dxa"/>
          </w:tcPr>
          <w:p w14:paraId="000000EE">
            <w:pPr>
              <w:jc w:val="center"/>
              <w:rPr>
                <w:sz w:val="22"/>
                <w:szCs w:val="22"/>
              </w:rPr>
            </w:pPr>
          </w:p>
        </w:tc>
        <w:tc>
          <w:tcPr>
            <w:cnfStyle w:val="000000010000"/>
            <w:tcW w:w="1330" w:type="dxa"/>
          </w:tcPr>
          <w:p w14:paraId="000000EF">
            <w:pPr>
              <w:jc w:val="center"/>
              <w:rPr>
                <w:sz w:val="22"/>
                <w:szCs w:val="22"/>
              </w:rPr>
            </w:pPr>
          </w:p>
        </w:tc>
        <w:tc>
          <w:tcPr>
            <w:cnfStyle w:val="000000010000"/>
            <w:tcW w:w="3713" w:type="dxa"/>
          </w:tcPr>
          <w:p w14:paraId="000000F0">
            <w:pPr>
              <w:rPr>
                <w:sz w:val="20"/>
                <w:szCs w:val="20"/>
                <w:lang w:val="en-US"/>
              </w:rPr>
            </w:pPr>
          </w:p>
        </w:tc>
        <w:tc>
          <w:tcPr>
            <w:cnfStyle w:val="000000010000"/>
            <w:tcW w:w="1985" w:type="dxa"/>
          </w:tcPr>
          <w:p w14:paraId="000000F1">
            <w:pPr>
              <w:jc w:val="center"/>
              <w:rPr>
                <w:sz w:val="22"/>
                <w:szCs w:val="22"/>
              </w:rPr>
            </w:pPr>
          </w:p>
        </w:tc>
      </w:tr>
      <w:tr>
        <w:trPr>
          <w:cnfStyle w:val="000000100000"/>
        </w:trPr>
        <w:tc>
          <w:tcPr>
            <w:cnfStyle w:val="001000100000"/>
            <w:tcW w:w="562" w:type="dxa"/>
          </w:tcPr>
          <w:p w14:paraId="000000F2">
            <w:pPr>
              <w:rPr>
                <w:sz w:val="22"/>
                <w:szCs w:val="22"/>
              </w:rPr>
            </w:pPr>
            <w:r>
              <w:rPr>
                <w:sz w:val="22"/>
                <w:szCs w:val="22"/>
              </w:rPr>
              <w:t>11</w:t>
            </w:r>
          </w:p>
        </w:tc>
        <w:tc>
          <w:tcPr>
            <w:cnfStyle w:val="000000100000"/>
            <w:tcW w:w="2415" w:type="dxa"/>
            <w:tcBorders>
              <w:top w:val="single" w:color="000000" w:sz="4" w:space="0"/>
              <w:left w:val="single" w:color="000000" w:sz="4" w:space="0"/>
              <w:bottom w:val="single" w:color="000000" w:sz="4" w:space="0"/>
              <w:right w:val="single" w:color="000000" w:sz="4" w:space="0"/>
            </w:tcBorders>
            <w:vAlign w:val="bottom"/>
          </w:tcPr>
          <w:p w14:paraId="000000F3">
            <w:pPr>
              <w:jc w:val="center"/>
              <w:rPr>
                <w:sz w:val="22"/>
                <w:szCs w:val="22"/>
              </w:rPr>
            </w:pPr>
            <w:r>
              <w:rPr>
                <w:rFonts w:ascii="Cambria" w:hint="default"/>
                <w:b w:val="off"/>
                <w:bCs w:val="off"/>
                <w:i w:val="off"/>
                <w:iCs w:val="off"/>
                <w:caps w:val="off"/>
                <w:smallCaps w:val="off"/>
                <w:outline w:val="off"/>
                <w:shadow w:val="off"/>
                <w:emboss w:val="off"/>
                <w:imprint w:val="off"/>
                <w:vanish w:val="off"/>
                <w:color w:val="000000"/>
                <w:spacing w:val="0"/>
                <w:w w:val="100"/>
                <w:position w:val="0"/>
                <w:sz w:val="20"/>
                <w:szCs w:val="20"/>
                <w:highlight w:val="none"/>
                <w:u w:val="none"/>
                <w:bdr w:val="nil" w:sz="4" w:space="0"/>
                <w:shd w:val="nil" w:color="auto" w:fill="auto"/>
                <w:vertAlign w:val="baseline"/>
                <w:rtl w:val="off"/>
                <w:cs w:val="off"/>
              </w:rPr>
              <w:t xml:space="preserve">Бланк аттестата о среднем общем образовании (титул+обложка) </w:t>
            </w:r>
          </w:p>
        </w:tc>
        <w:tc>
          <w:tcPr>
            <w:cnfStyle w:val="000000100000"/>
            <w:tcW w:w="1134" w:type="dxa"/>
            <w:tcBorders>
              <w:top w:val="single" w:color="000000" w:sz="4" w:space="0"/>
              <w:left w:val="single" w:color="000000" w:sz="4" w:space="0"/>
              <w:bottom w:val="single" w:color="000000" w:sz="4" w:space="0"/>
              <w:right w:val="single" w:color="000000" w:sz="4" w:space="0"/>
            </w:tcBorders>
            <w:vAlign w:val="center"/>
          </w:tcPr>
          <w:p w14:paraId="000000F4">
            <w:pPr>
              <w:jc w:val="center"/>
              <w:rPr>
                <w:sz w:val="22"/>
                <w:szCs w:val="22"/>
              </w:rPr>
            </w:pPr>
            <w:r>
              <w:rPr>
                <w:rFonts w:ascii="Times New Roman" w:hint="default"/>
                <w:b w:val="off"/>
                <w:bCs w:val="off"/>
                <w:i w:val="off"/>
                <w:iCs w:val="off"/>
                <w:caps w:val="off"/>
                <w:smallCaps w:val="off"/>
                <w:outline w:val="off"/>
                <w:shadow w:val="off"/>
                <w:emboss w:val="off"/>
                <w:imprint w:val="off"/>
                <w:vanish w:val="off"/>
                <w:color w:val="000000"/>
                <w:spacing w:val="0"/>
                <w:w w:val="100"/>
                <w:position w:val="0"/>
                <w:sz w:val="16"/>
                <w:szCs w:val="20"/>
                <w:highlight w:val="none"/>
                <w:u w:val="none"/>
                <w:bdr w:val="nil" w:sz="4" w:space="0"/>
                <w:shd w:val="nil" w:color="auto" w:fill="auto"/>
                <w:vertAlign w:val="baseline"/>
                <w:rtl w:val="off"/>
                <w:cs w:val="off"/>
              </w:rPr>
              <w:t>шт.</w:t>
            </w:r>
          </w:p>
        </w:tc>
        <w:tc>
          <w:tcPr>
            <w:cnfStyle w:val="000000100000"/>
            <w:tcW w:w="992" w:type="dxa"/>
            <w:tcBorders>
              <w:top w:val="single" w:color="000000" w:sz="4" w:space="0"/>
              <w:left w:val="single" w:color="000000" w:sz="4" w:space="0"/>
              <w:bottom w:val="single" w:color="000000" w:sz="4" w:space="0"/>
              <w:right w:val="single" w:color="000000" w:sz="4" w:space="0"/>
            </w:tcBorders>
            <w:vAlign w:val="bottom"/>
          </w:tcPr>
          <w:p w14:paraId="000000F5">
            <w:pPr>
              <w:jc w:val="center"/>
              <w:rPr>
                <w:sz w:val="22"/>
                <w:szCs w:val="22"/>
              </w:rPr>
            </w:pPr>
            <w:r>
              <w:rPr>
                <w:rFonts w:ascii="Cambria" w:hint="default"/>
                <w:b w:val="off"/>
                <w:bCs w:val="off"/>
                <w:i w:val="off"/>
                <w:iCs w:val="off"/>
                <w:caps w:val="off"/>
                <w:smallCaps w:val="off"/>
                <w:outline w:val="off"/>
                <w:shadow w:val="off"/>
                <w:emboss w:val="off"/>
                <w:imprint w:val="off"/>
                <w:vanish w:val="off"/>
                <w:color w:val="000000"/>
                <w:spacing w:val="0"/>
                <w:w w:val="100"/>
                <w:position w:val="0"/>
                <w:sz w:val="20"/>
                <w:szCs w:val="20"/>
                <w:highlight w:val="none"/>
                <w:u w:val="none"/>
                <w:bdr w:val="nil" w:sz="4" w:space="0"/>
                <w:shd w:val="nil" w:color="auto" w:fill="auto"/>
                <w:vertAlign w:val="baseline"/>
                <w:rtl w:val="off"/>
                <w:cs w:val="off"/>
              </w:rPr>
              <w:t>44</w:t>
            </w:r>
          </w:p>
        </w:tc>
        <w:tc>
          <w:tcPr>
            <w:cnfStyle w:val="000000100000"/>
            <w:tcW w:w="1423" w:type="dxa"/>
          </w:tcPr>
          <w:p w14:paraId="000000F6">
            <w:pPr>
              <w:jc w:val="center"/>
              <w:rPr>
                <w:sz w:val="22"/>
                <w:szCs w:val="22"/>
              </w:rPr>
            </w:pPr>
          </w:p>
        </w:tc>
        <w:tc>
          <w:tcPr>
            <w:cnfStyle w:val="000000100000"/>
            <w:tcW w:w="905" w:type="dxa"/>
          </w:tcPr>
          <w:p w14:paraId="000000F7">
            <w:pPr>
              <w:jc w:val="center"/>
              <w:rPr>
                <w:sz w:val="22"/>
                <w:szCs w:val="22"/>
              </w:rPr>
            </w:pPr>
          </w:p>
        </w:tc>
        <w:tc>
          <w:tcPr>
            <w:cnfStyle w:val="000000100000"/>
            <w:tcW w:w="1330" w:type="dxa"/>
          </w:tcPr>
          <w:p w14:paraId="000000F8">
            <w:pPr>
              <w:jc w:val="center"/>
              <w:rPr>
                <w:sz w:val="22"/>
                <w:szCs w:val="22"/>
              </w:rPr>
            </w:pPr>
          </w:p>
        </w:tc>
        <w:tc>
          <w:tcPr>
            <w:cnfStyle w:val="000000100000"/>
            <w:tcW w:w="3713" w:type="dxa"/>
          </w:tcPr>
          <w:p w14:paraId="000000F9">
            <w:pPr>
              <w:rPr>
                <w:sz w:val="20"/>
                <w:szCs w:val="20"/>
                <w:lang w:val="en-US"/>
              </w:rPr>
            </w:pPr>
          </w:p>
        </w:tc>
        <w:tc>
          <w:tcPr>
            <w:cnfStyle w:val="000000100000"/>
            <w:tcW w:w="1985" w:type="dxa"/>
          </w:tcPr>
          <w:p w14:paraId="000000FA">
            <w:pPr>
              <w:jc w:val="center"/>
              <w:rPr>
                <w:sz w:val="22"/>
                <w:szCs w:val="22"/>
              </w:rPr>
            </w:pPr>
          </w:p>
        </w:tc>
      </w:tr>
      <w:tr>
        <w:trPr>
          <w:cnfStyle w:val="000000010000"/>
        </w:trPr>
        <w:tc>
          <w:tcPr>
            <w:cnfStyle w:val="001000010000"/>
            <w:tcW w:w="562" w:type="dxa"/>
          </w:tcPr>
          <w:p w14:paraId="000000FB">
            <w:pPr>
              <w:rPr>
                <w:sz w:val="22"/>
                <w:szCs w:val="22"/>
              </w:rPr>
            </w:pPr>
            <w:r>
              <w:rPr>
                <w:sz w:val="22"/>
                <w:szCs w:val="22"/>
              </w:rPr>
              <w:t>12</w:t>
            </w:r>
          </w:p>
        </w:tc>
        <w:tc>
          <w:tcPr>
            <w:cnfStyle w:val="000000010000"/>
            <w:tcW w:w="2415" w:type="dxa"/>
            <w:tcBorders>
              <w:top w:val="single" w:color="000000" w:sz="4" w:space="0"/>
              <w:left w:val="single" w:color="000000" w:sz="4" w:space="0"/>
              <w:bottom w:val="single" w:color="000000" w:sz="4" w:space="0"/>
              <w:right w:val="single" w:color="000000" w:sz="4" w:space="0"/>
            </w:tcBorders>
            <w:vAlign w:val="bottom"/>
          </w:tcPr>
          <w:p w14:paraId="000000FC">
            <w:pPr>
              <w:jc w:val="center"/>
              <w:rPr>
                <w:sz w:val="22"/>
                <w:szCs w:val="22"/>
              </w:rPr>
            </w:pPr>
            <w:r>
              <w:rPr>
                <w:rFonts w:ascii="Cambria" w:hint="default"/>
                <w:b w:val="off"/>
                <w:bCs w:val="off"/>
                <w:i w:val="off"/>
                <w:iCs w:val="off"/>
                <w:caps w:val="off"/>
                <w:smallCaps w:val="off"/>
                <w:outline w:val="off"/>
                <w:shadow w:val="off"/>
                <w:emboss w:val="off"/>
                <w:imprint w:val="off"/>
                <w:vanish w:val="off"/>
                <w:color w:val="000000"/>
                <w:spacing w:val="0"/>
                <w:w w:val="100"/>
                <w:position w:val="0"/>
                <w:sz w:val="20"/>
                <w:szCs w:val="20"/>
                <w:highlight w:val="none"/>
                <w:u w:val="none"/>
                <w:bdr w:val="nil" w:sz="4" w:space="0"/>
                <w:shd w:val="nil" w:color="auto" w:fill="auto"/>
                <w:vertAlign w:val="baseline"/>
                <w:rtl w:val="off"/>
                <w:cs w:val="off"/>
              </w:rPr>
              <w:t xml:space="preserve">Бланк приложения к аттестату о среднем общем образовании </w:t>
            </w:r>
          </w:p>
        </w:tc>
        <w:tc>
          <w:tcPr>
            <w:cnfStyle w:val="000000010000"/>
            <w:tcW w:w="1134" w:type="dxa"/>
            <w:tcBorders>
              <w:top w:val="single" w:color="000000" w:sz="4" w:space="0"/>
              <w:left w:val="single" w:color="000000" w:sz="4" w:space="0"/>
              <w:bottom w:val="single" w:color="000000" w:sz="4" w:space="0"/>
              <w:right w:val="single" w:color="000000" w:sz="4" w:space="0"/>
            </w:tcBorders>
            <w:vAlign w:val="center"/>
          </w:tcPr>
          <w:p w14:paraId="000000FD">
            <w:pPr>
              <w:jc w:val="center"/>
              <w:rPr>
                <w:sz w:val="22"/>
                <w:szCs w:val="22"/>
              </w:rPr>
            </w:pPr>
            <w:r>
              <w:rPr>
                <w:rFonts w:ascii="Times New Roman" w:hint="default"/>
                <w:b w:val="off"/>
                <w:bCs w:val="off"/>
                <w:i w:val="off"/>
                <w:iCs w:val="off"/>
                <w:caps w:val="off"/>
                <w:smallCaps w:val="off"/>
                <w:outline w:val="off"/>
                <w:shadow w:val="off"/>
                <w:emboss w:val="off"/>
                <w:imprint w:val="off"/>
                <w:vanish w:val="off"/>
                <w:color w:val="000000"/>
                <w:spacing w:val="0"/>
                <w:w w:val="100"/>
                <w:position w:val="0"/>
                <w:sz w:val="16"/>
                <w:szCs w:val="20"/>
                <w:highlight w:val="none"/>
                <w:u w:val="none"/>
                <w:bdr w:val="nil" w:sz="4" w:space="0"/>
                <w:shd w:val="nil" w:color="auto" w:fill="auto"/>
                <w:vertAlign w:val="baseline"/>
                <w:rtl w:val="off"/>
                <w:cs w:val="off"/>
              </w:rPr>
              <w:t>шт.</w:t>
            </w:r>
          </w:p>
        </w:tc>
        <w:tc>
          <w:tcPr>
            <w:cnfStyle w:val="000000010000"/>
            <w:tcW w:w="992" w:type="dxa"/>
            <w:tcBorders>
              <w:top w:val="single" w:color="000000" w:sz="4" w:space="0"/>
              <w:left w:val="single" w:color="000000" w:sz="4" w:space="0"/>
              <w:bottom w:val="single" w:color="000000" w:sz="4" w:space="0"/>
              <w:right w:val="single" w:color="000000" w:sz="4" w:space="0"/>
            </w:tcBorders>
            <w:vAlign w:val="bottom"/>
          </w:tcPr>
          <w:p w14:paraId="000000FE">
            <w:pPr>
              <w:jc w:val="center"/>
              <w:rPr>
                <w:sz w:val="22"/>
                <w:szCs w:val="22"/>
              </w:rPr>
            </w:pPr>
            <w:r>
              <w:rPr>
                <w:rFonts w:ascii="Cambria" w:hint="default"/>
                <w:b w:val="off"/>
                <w:bCs w:val="off"/>
                <w:i w:val="off"/>
                <w:iCs w:val="off"/>
                <w:caps w:val="off"/>
                <w:smallCaps w:val="off"/>
                <w:outline w:val="off"/>
                <w:shadow w:val="off"/>
                <w:emboss w:val="off"/>
                <w:imprint w:val="off"/>
                <w:vanish w:val="off"/>
                <w:color w:val="000000"/>
                <w:spacing w:val="0"/>
                <w:w w:val="100"/>
                <w:position w:val="0"/>
                <w:sz w:val="20"/>
                <w:szCs w:val="20"/>
                <w:highlight w:val="none"/>
                <w:u w:val="none"/>
                <w:bdr w:val="nil" w:sz="4" w:space="0"/>
                <w:shd w:val="nil" w:color="auto" w:fill="auto"/>
                <w:vertAlign w:val="baseline"/>
                <w:rtl w:val="off"/>
                <w:cs w:val="off"/>
              </w:rPr>
              <w:t>50</w:t>
            </w:r>
          </w:p>
        </w:tc>
        <w:tc>
          <w:tcPr>
            <w:cnfStyle w:val="000000010000"/>
            <w:tcW w:w="1423" w:type="dxa"/>
          </w:tcPr>
          <w:p w14:paraId="000000FF">
            <w:pPr>
              <w:jc w:val="center"/>
              <w:rPr>
                <w:sz w:val="22"/>
                <w:szCs w:val="22"/>
              </w:rPr>
            </w:pPr>
          </w:p>
        </w:tc>
        <w:tc>
          <w:tcPr>
            <w:cnfStyle w:val="000000010000"/>
            <w:tcW w:w="905" w:type="dxa"/>
          </w:tcPr>
          <w:p w14:paraId="00000100">
            <w:pPr>
              <w:jc w:val="center"/>
              <w:rPr>
                <w:sz w:val="22"/>
                <w:szCs w:val="22"/>
              </w:rPr>
            </w:pPr>
          </w:p>
        </w:tc>
        <w:tc>
          <w:tcPr>
            <w:cnfStyle w:val="000000010000"/>
            <w:tcW w:w="1330" w:type="dxa"/>
          </w:tcPr>
          <w:p w14:paraId="00000101">
            <w:pPr>
              <w:jc w:val="center"/>
              <w:rPr>
                <w:sz w:val="22"/>
                <w:szCs w:val="22"/>
              </w:rPr>
            </w:pPr>
          </w:p>
        </w:tc>
        <w:tc>
          <w:tcPr>
            <w:cnfStyle w:val="000000010000"/>
            <w:tcW w:w="3713" w:type="dxa"/>
          </w:tcPr>
          <w:p w14:paraId="00000102">
            <w:pPr>
              <w:rPr>
                <w:sz w:val="20"/>
                <w:szCs w:val="20"/>
                <w:lang w:val="en-US"/>
              </w:rPr>
            </w:pPr>
          </w:p>
        </w:tc>
        <w:tc>
          <w:tcPr>
            <w:cnfStyle w:val="000000010000"/>
            <w:tcW w:w="1985" w:type="dxa"/>
          </w:tcPr>
          <w:p w14:paraId="00000103">
            <w:pPr>
              <w:jc w:val="center"/>
              <w:rPr>
                <w:sz w:val="22"/>
                <w:szCs w:val="22"/>
              </w:rPr>
            </w:pPr>
          </w:p>
        </w:tc>
      </w:tr>
    </w:tbl>
    <w:p w14:paraId="00000104">
      <w:pPr>
        <w:jc w:val="center"/>
        <w:rPr>
          <w:b/>
        </w:rPr>
      </w:pPr>
    </w:p>
    <w:p w14:paraId="00000105">
      <w:pPr>
        <w:jc w:val="both"/>
        <w:rPr/>
      </w:pPr>
      <w:r>
        <w:rPr>
          <w:b/>
        </w:rPr>
        <w:t>Итого (цена Контракта)</w:t>
      </w:r>
      <w:r>
        <w:t>: ____ рублей _____ копеек</w:t>
      </w:r>
    </w:p>
    <w:p w14:paraId="00000106">
      <w:pPr>
        <w:jc w:val="both"/>
        <w:rPr>
          <w:lang w:val="en-US"/>
        </w:rPr>
      </w:pPr>
    </w:p>
    <w:tbl>
      <w:tblPr>
        <w:tblStyle w:val="TableGrid"/>
        <w:tblW w:w="5000" w:type="pct"/>
        <w:tblLook w:val="04A0"/>
      </w:tblPr>
      <w:tblGrid>
        <w:gridCol w:w="7387"/>
        <w:gridCol w:w="7172"/>
      </w:tblGrid>
      <w:tr>
        <w:trPr/>
        <w:tc>
          <w:tcPr>
            <w:cnfStyle w:val="101000000000"/>
            <w:tcW w:w="2537" w:type="pct"/>
            <w:tcBorders>
              <w:top w:val="single" w:color="ffffff" w:themeColor="background1" w:sz="4" w:space="0"/>
              <w:left w:val="single" w:color="ffffff" w:themeColor="background1" w:sz="4" w:space="0"/>
              <w:bottom w:val="single" w:color="ffffff" w:themeColor="background1" w:sz="4" w:space="0"/>
              <w:right w:val="single" w:color="ffffff" w:themeColor="background1" w:sz="4" w:space="0"/>
            </w:tcBorders>
          </w:tcPr>
          <w:p w14:paraId="00000107">
            <w:pPr>
              <w:jc w:val="both"/>
              <w:rPr>
                <w:b/>
              </w:rPr>
            </w:pPr>
            <w:r>
              <w:rPr>
                <w:b/>
              </w:rPr>
              <w:t>Заказчик:</w:t>
            </w:r>
          </w:p>
        </w:tc>
        <w:tc>
          <w:tcPr>
            <w:cnfStyle w:val="100000000000"/>
            <w:tcW w:w="2463" w:type="pct"/>
            <w:tcBorders>
              <w:top w:val="single" w:color="ffffff" w:themeColor="background1" w:sz="4" w:space="0"/>
              <w:left w:val="single" w:color="ffffff" w:themeColor="background1" w:sz="4" w:space="0"/>
              <w:bottom w:val="single" w:color="ffffff" w:themeColor="background1" w:sz="4" w:space="0"/>
              <w:right w:val="single" w:color="ffffff" w:themeColor="background1" w:sz="4" w:space="0"/>
            </w:tcBorders>
          </w:tcPr>
          <w:p w14:paraId="00000108">
            <w:pPr>
              <w:jc w:val="both"/>
              <w:rPr>
                <w:b/>
              </w:rPr>
            </w:pPr>
            <w:r>
              <w:rPr>
                <w:b/>
              </w:rPr>
              <w:t>Поставщик:</w:t>
            </w:r>
          </w:p>
        </w:tc>
      </w:tr>
    </w:tbl>
    <w:p w14:paraId="00000109">
      <w:pPr>
        <w:jc w:val="both"/>
        <w:rPr>
          <w:lang w:val="en-US"/>
        </w:rPr>
      </w:pPr>
    </w:p>
    <w:p w14:paraId="0000010A">
      <w:pPr>
        <w:spacing w:after="160" w:line="259" w:lineRule="auto"/>
        <w:rPr>
          <w:lang w:val="en-US"/>
        </w:rPr>
      </w:pPr>
    </w:p>
    <w:p w14:paraId="0000010B">
      <w:pPr>
        <w:spacing w:after="160" w:line="259" w:lineRule="auto"/>
        <w:rPr>
          <w:lang w:val="en-US"/>
        </w:rPr>
      </w:pPr>
    </w:p>
    <w:p w14:paraId="0000010C">
      <w:pPr>
        <w:spacing w:after="160" w:line="259" w:lineRule="auto"/>
        <w:rPr>
          <w:lang w:val="en-US"/>
        </w:rPr>
      </w:pPr>
    </w:p>
    <w:p w14:paraId="0000010D">
      <w:pPr>
        <w:spacing w:after="160" w:line="259" w:lineRule="auto"/>
        <w:rPr>
          <w:lang w:val="en-US"/>
        </w:rPr>
      </w:pPr>
    </w:p>
    <w:p w14:paraId="0000010E">
      <w:pPr>
        <w:spacing w:after="160" w:line="259" w:lineRule="auto"/>
        <w:rPr>
          <w:lang w:val="en-US"/>
        </w:rPr>
      </w:pPr>
    </w:p>
    <w:p w14:paraId="0000010F">
      <w:pPr>
        <w:spacing w:after="160" w:line="259" w:lineRule="auto"/>
        <w:rPr>
          <w:lang w:val="en-US"/>
        </w:rPr>
      </w:pPr>
    </w:p>
    <w:p w14:paraId="00000110">
      <w:pPr>
        <w:spacing w:after="160" w:line="259" w:lineRule="auto"/>
        <w:rPr>
          <w:lang w:val="en-US"/>
        </w:rPr>
      </w:pPr>
    </w:p>
    <w:p w14:paraId="00000111">
      <w:pPr>
        <w:spacing w:after="160" w:line="259" w:lineRule="auto"/>
        <w:rPr>
          <w:lang w:val="en-US"/>
        </w:rPr>
      </w:pPr>
    </w:p>
    <w:p w14:paraId="00000112">
      <w:pPr>
        <w:spacing w:after="160" w:line="259" w:lineRule="auto"/>
        <w:rPr>
          <w:lang w:val="en-US"/>
        </w:rPr>
      </w:pPr>
    </w:p>
    <w:p w14:paraId="00000113">
      <w:pPr>
        <w:spacing w:after="160" w:line="259" w:lineRule="auto"/>
        <w:rPr>
          <w:lang w:val="en-US"/>
        </w:rPr>
      </w:pPr>
    </w:p>
    <w:p w14:paraId="00000114">
      <w:pPr>
        <w:spacing w:after="160" w:line="259" w:lineRule="auto"/>
        <w:rPr>
          <w:lang w:val="en-US"/>
        </w:rPr>
      </w:pPr>
    </w:p>
    <w:p w14:paraId="00000115">
      <w:pPr>
        <w:spacing w:after="160" w:line="259" w:lineRule="auto"/>
        <w:rPr>
          <w:lang w:val="en-US"/>
        </w:rPr>
      </w:pPr>
    </w:p>
    <w:p w14:paraId="00000116">
      <w:pPr>
        <w:spacing w:after="160" w:line="259" w:lineRule="auto"/>
        <w:rPr>
          <w:lang w:val="en-US"/>
        </w:rPr>
        <w:sectPr>
          <w:pgSz w:w="16838" w:h="11906" w:orient="landscape"/>
          <w:pgMar w:top="1701" w:right="1134" w:bottom="851" w:left="1134" w:header="709" w:footer="709" w:gutter="0"/>
          <w:cols w:space="708"/>
        </w:sectPr>
      </w:pPr>
      <w:r>
        <w:rPr>
          <w:lang w:val="en-US"/>
        </w:rPr>
        <w:br w:type="page"/>
      </w:r>
      <w:r>
        <w:rPr>
          <w:lang w:val="en-US"/>
        </w:rPr>
        <w:t>
</w:t>
      </w:r>
    </w:p>
    <w:p w14:paraId="00000117">
      <w:pPr>
        <w:jc w:val="right"/>
        <w:rPr/>
      </w:pPr>
      <w:r>
        <w:t>Приложение</w:t>
      </w:r>
      <w:r>
        <w:t xml:space="preserve"> № 2 </w:t>
      </w:r>
      <w:r>
        <w:t>к</w:t>
      </w:r>
      <w:r>
        <w:t xml:space="preserve"> </w:t>
      </w:r>
      <w:r>
        <w:t>Контракту</w:t>
      </w:r>
    </w:p>
    <w:p w14:paraId="00000118">
      <w:pPr>
        <w:pStyle w:val="ListParagraph"/>
        <w:ind w:left="-426" w:firstLine="142"/>
        <w:jc w:val="right"/>
        <w:rPr>
          <w:rFonts w:ascii="Times New Roman" w:cs="Times New Roman" w:hAnsi="Times New Roman"/>
          <w:sz w:val="24"/>
          <w:szCs w:val="24"/>
        </w:rPr>
      </w:pPr>
      <w:r>
        <w:t xml:space="preserve"> </w:t>
      </w:r>
      <w:r>
        <w:t>от «</w:t>
      </w:r>
      <w:r>
        <w:t>___</w:t>
      </w:r>
      <w:r>
        <w:t>»</w:t>
      </w:r>
      <w:r>
        <w:t>_____________</w:t>
      </w:r>
      <w:r>
        <w:t xml:space="preserve">г. </w:t>
      </w:r>
      <w:r>
        <w:t xml:space="preserve"> </w:t>
      </w:r>
      <w:r>
        <w:rPr>
          <w:rFonts w:ascii="Times New Roman" w:cs="Times New Roman" w:hAnsi="Times New Roman"/>
          <w:sz w:val="24"/>
          <w:szCs w:val="24"/>
        </w:rPr>
        <w:t>№</w:t>
      </w:r>
      <w:r>
        <w:t xml:space="preserve"> </w:t>
      </w:r>
      <w:r>
        <w:rPr>
          <w:rFonts w:ascii="Times New Roman" w:cs="Times New Roman" w:hAnsi="Times New Roman"/>
          <w:sz w:val="24"/>
          <w:szCs w:val="24"/>
        </w:rPr>
        <w:t>______</w:t>
      </w:r>
    </w:p>
    <w:p w14:paraId="00000119">
      <w:pPr>
        <w:jc w:val="right"/>
        <w:rPr/>
      </w:pPr>
    </w:p>
    <w:p w14:paraId="0000011A">
      <w:pPr>
        <w:jc w:val="center"/>
        <w:rPr>
          <w:b/>
        </w:rPr>
      </w:pPr>
      <w:r>
        <w:rPr>
          <w:b/>
        </w:rPr>
        <w:t>Техническое задание</w:t>
      </w:r>
    </w:p>
    <w:p w14:paraId="0000011B">
      <w:pPr>
        <w:jc w:val="center"/>
        <w:rPr>
          <w:b/>
        </w:rPr>
      </w:pPr>
    </w:p>
    <w:p w14:paraId="0000011C">
      <w:pPr>
        <w:jc w:val="both"/>
        <w:rPr/>
      </w:pPr>
      <w:r>
        <w:t xml:space="preserve"> </w:t>
      </w:r>
    </w:p>
    <w:p w14:paraId="0000011D">
      <w:r>
        <w:t>1. Требования к качеству Товара, комплектности, таре, упаковк</w:t>
      </w:r>
      <w:r>
        <w:t>е, маркировке и иные требования:</w:t>
      </w:r>
      <w:r>
        <w:t xml:space="preserve"> </w:t>
      </w:r>
    </w:p>
    <w:p w14:paraId="0000011E">
      <w:r>
        <w:t>2. Адрес поставки</w:t>
      </w:r>
      <w:r>
        <w:t>: 194223, г. Санкт-Петербург, пр-кт. Тореза, 41 литер A</w:t>
      </w:r>
      <w:r>
        <w:t xml:space="preserve">3. </w:t>
      </w:r>
      <w:r>
        <w:t>Сопроводительные документы: акт, счет, с/ф (наличии)</w:t>
      </w:r>
      <w:r>
        <w:t xml:space="preserve"> </w:t>
      </w:r>
    </w:p>
    <w:p w14:paraId="0000011F">
      <w:r>
        <w:t>4. Срок поставки</w:t>
      </w:r>
      <w:r>
        <w:t>: в течение 3 рабочих дней после подписания контракта.</w:t>
      </w:r>
    </w:p>
    <w:p w14:paraId="00000120">
      <w:r>
        <w:t>5. Порядок приемки:</w:t>
      </w:r>
      <w:r>
        <w:t xml:space="preserve"> в соответствии с договором.</w:t>
      </w:r>
    </w:p>
    <w:p w14:paraId="00000121">
      <w:r>
        <w:t>6. Документ о приемке:</w:t>
      </w:r>
      <w:r>
        <w:t xml:space="preserve"> акт приема-передачи товара.</w:t>
      </w:r>
    </w:p>
    <w:p w14:paraId="00000122">
      <w:r>
        <w:t>7. Срок приемки:</w:t>
      </w:r>
      <w:r>
        <w:t xml:space="preserve"> 5 рабочих дней.</w:t>
      </w:r>
    </w:p>
    <w:p w14:paraId="00000123">
      <w:r>
        <w:t>8</w:t>
      </w:r>
      <w:r>
        <w:t xml:space="preserve">. </w:t>
      </w:r>
      <w:r>
        <w:t>Срок замены некачественного Товара, гаран</w:t>
      </w:r>
      <w:r>
        <w:t>тийный срок на заменяемый товар:</w:t>
      </w:r>
      <w:r>
        <w:t xml:space="preserve"> в течение 3 рабочих дней с момента оформления заявки на возврат.</w:t>
      </w:r>
      <w:bookmarkStart w:id="0" w:name="_GoBack"/>
      <w:bookmarkEnd w:id="0"/>
    </w:p>
    <w:p w14:paraId="00000124">
      <w:pPr>
        <w:jc w:val="both"/>
        <w:rPr/>
      </w:pPr>
    </w:p>
    <w:tbl>
      <w:tblPr>
        <w:tblStyle w:val="TableGrid"/>
        <w:tblW w:w="5000" w:type="pct"/>
        <w:tblLook w:val="04A0"/>
      </w:tblPr>
      <w:tblGrid>
        <w:gridCol w:w="4741"/>
        <w:gridCol w:w="4602"/>
      </w:tblGrid>
      <w:tr>
        <w:trPr/>
        <w:tc>
          <w:tcPr>
            <w:cnfStyle w:val="101000000000"/>
            <w:tcW w:w="2537" w:type="pct"/>
            <w:tcBorders>
              <w:top w:val="single" w:color="ffffff" w:themeColor="background1" w:sz="4" w:space="0"/>
              <w:left w:val="single" w:color="ffffff" w:themeColor="background1" w:sz="4" w:space="0"/>
              <w:bottom w:val="single" w:color="ffffff" w:themeColor="background1" w:sz="4" w:space="0"/>
              <w:right w:val="single" w:color="ffffff" w:themeColor="background1" w:sz="4" w:space="0"/>
            </w:tcBorders>
          </w:tcPr>
          <w:p w14:paraId="00000125">
            <w:pPr>
              <w:jc w:val="both"/>
              <w:rPr>
                <w:b/>
              </w:rPr>
            </w:pPr>
            <w:r>
              <w:rPr>
                <w:b/>
              </w:rPr>
              <w:t>Заказчик:</w:t>
            </w:r>
          </w:p>
        </w:tc>
        <w:tc>
          <w:tcPr>
            <w:cnfStyle w:val="100000000000"/>
            <w:tcW w:w="2463" w:type="pct"/>
            <w:tcBorders>
              <w:top w:val="single" w:color="ffffff" w:themeColor="background1" w:sz="4" w:space="0"/>
              <w:left w:val="single" w:color="ffffff" w:themeColor="background1" w:sz="4" w:space="0"/>
              <w:bottom w:val="single" w:color="ffffff" w:themeColor="background1" w:sz="4" w:space="0"/>
              <w:right w:val="single" w:color="ffffff" w:themeColor="background1" w:sz="4" w:space="0"/>
            </w:tcBorders>
          </w:tcPr>
          <w:p w14:paraId="00000126">
            <w:pPr>
              <w:jc w:val="both"/>
              <w:rPr>
                <w:b/>
              </w:rPr>
            </w:pPr>
            <w:r>
              <w:rPr>
                <w:b/>
              </w:rPr>
              <w:t>Поставщик:</w:t>
            </w:r>
          </w:p>
        </w:tc>
      </w:tr>
    </w:tbl>
    <w:p w14:paraId="00000127">
      <w:pPr>
        <w:jc w:val="both"/>
        <w:rPr/>
      </w:pPr>
    </w:p>
    <w:sectPr>
      <w:pgSz w:w="11906" w:h="16838"/>
      <w:pgMar w:top="1134" w:right="851" w:bottom="1134" w:left="1701" w:header="709" w:footer="709" w:gutter="0"/>
      <w:cols w:space="708"/>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ink="http://schemas.microsoft.com/office/drawing/2016/ink" xmlns:dgm="http://schemas.openxmlformats.org/drawingml/2006/diagram">
  <w:endnote w:type="separator" w:id="0">
    <w:p w14:paraId="00000003">
      <w:r>
        <w:rPr/>
        <w:separator/>
      </w:r>
    </w:p>
  </w:endnote>
  <w:endnote w:type="continuationSeparator" w:id="1">
    <w:p w14:paraId="00000004">
      <w:r>
        <w:rP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00000000" w:usb1="00000000" w:usb2="00000009" w:usb3="00000000" w:csb0="000001ff" w:csb1="00000000"/>
  </w:font>
  <w:font w:name="Times New Roman">
    <w:panose1 w:val="02020603050405020304"/>
    <w:charset w:val="cc"/>
    <w:family w:val="roman"/>
    <w:pitch w:val="variable"/>
    <w:sig w:usb0="00000000" w:usb1="00000000" w:usb2="00000009" w:usb3="00000000" w:csb0="000001ff" w:csb1="00000000"/>
  </w:font>
  <w:font w:name="Calibri Light">
    <w:panose1 w:val="020f0302020204030204"/>
    <w:charset w:val="cc"/>
    <w:family w:val="swiss"/>
    <w:pitch w:val="variable"/>
    <w:sig w:usb0="00000000" w:usb1="00000000" w:usb2="00000009" w:usb3="00000000" w:csb0="0000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roman"/>
    <w:pitch w:val="variable"/>
    <w:sig w:usb0="61002a87" w:usb1="80000000" w:usb2="00000008" w:usb3="00000000" w:csb0="000001ff" w:csb1="00000000"/>
  </w:font>
  <w:font w:name="Verdana">
    <w:panose1 w:val="020b0604030504040204"/>
    <w:charset w:val="00"/>
    <w:family w:val="roman"/>
    <w:pitch w:val="variable"/>
    <w:sig w:usb0="a10006ff" w:usb1="4000205b" w:usb2="00000010" w:usb3="00000000" w:csb0="0000019f" w:csb1="00000000"/>
  </w:font>
  <w:font w:name="Symbol">
    <w:panose1 w:val="05050102010706020507"/>
    <w:charset w:val="02"/>
    <w:family w:val="roman"/>
    <w:notTrueType w:val="on"/>
    <w:pitch w:val="variable"/>
  </w:font>
  <w:font w:name="Wingdings">
    <w:panose1 w:val="05000000000000000000"/>
    <w:charset w:val="02"/>
    <w:family w:val="auto"/>
    <w:notTrueType w:val="on"/>
    <w:pitch w:val="variable"/>
  </w:font>
  <w:font w:name="Helvetica Neue">
    <w:charset w:val="00"/>
    <w:family w:val="swiss"/>
    <w:pitch w:val="variable"/>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ink="http://schemas.microsoft.com/office/drawing/2016/ink" xmlns:dgm="http://schemas.openxmlformats.org/drawingml/2006/diagram">
  <w:footnote w:type="separator" w:id="0">
    <w:p w14:paraId="00000001">
      <w:r>
        <w:rPr/>
        <w:separator/>
      </w:r>
    </w:p>
  </w:footnote>
  <w:footnote w:type="continuationSeparator" w:id="1">
    <w:p w14:paraId="00000002">
      <w:r>
        <w:rP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ctiveWritingStyle w:appName="MSWord" w:lang="ru-RU" w:vendorID="64" w:dllVersion="131078" w:nlCheck="1" w:checkStyle="0"/>
  <w:activeWritingStyle w:appName="MSWord" w:lang="en-US" w:vendorID="64" w:dllVersion="131078" w:nlCheck="1" w:checkStyle="1"/>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570E"/>
    <w:rsid w:val="0007349F"/>
    <w:rsid w:val="00085C41"/>
    <w:rsid w:val="000C2BCE"/>
    <w:rsid w:val="00125176"/>
    <w:rsid w:val="001266BC"/>
    <w:rsid w:val="00146D70"/>
    <w:rsid w:val="00171556"/>
    <w:rsid w:val="00176F2A"/>
    <w:rsid w:val="00195DF7"/>
    <w:rsid w:val="00224D8F"/>
    <w:rsid w:val="00242BBD"/>
    <w:rsid w:val="002566BE"/>
    <w:rsid w:val="00274F4C"/>
    <w:rsid w:val="002A35CD"/>
    <w:rsid w:val="003E504D"/>
    <w:rsid w:val="003E768A"/>
    <w:rsid w:val="004074A5"/>
    <w:rsid w:val="0043676D"/>
    <w:rsid w:val="004626AE"/>
    <w:rsid w:val="00467BE9"/>
    <w:rsid w:val="00472FD4"/>
    <w:rsid w:val="004C3FF9"/>
    <w:rsid w:val="004E37F9"/>
    <w:rsid w:val="0051168A"/>
    <w:rsid w:val="00534CA5"/>
    <w:rsid w:val="005358D5"/>
    <w:rsid w:val="00553C89"/>
    <w:rsid w:val="005B6E06"/>
    <w:rsid w:val="005D77E3"/>
    <w:rsid w:val="005E1476"/>
    <w:rsid w:val="005F7316"/>
    <w:rsid w:val="006360E2"/>
    <w:rsid w:val="00636EFF"/>
    <w:rsid w:val="00640426"/>
    <w:rsid w:val="006538FF"/>
    <w:rsid w:val="006B3FD7"/>
    <w:rsid w:val="00751A99"/>
    <w:rsid w:val="00794920"/>
    <w:rsid w:val="007F2879"/>
    <w:rsid w:val="008127D0"/>
    <w:rsid w:val="008454E0"/>
    <w:rsid w:val="00853C60"/>
    <w:rsid w:val="008B5837"/>
    <w:rsid w:val="008C69BA"/>
    <w:rsid w:val="008E361C"/>
    <w:rsid w:val="009F6AD0"/>
    <w:rsid w:val="00A53704"/>
    <w:rsid w:val="00AD5B7E"/>
    <w:rsid w:val="00AE700C"/>
    <w:rsid w:val="00B02CD7"/>
    <w:rsid w:val="00B930F3"/>
    <w:rsid w:val="00BA79C9"/>
    <w:rsid w:val="00BE12A3"/>
    <w:rsid w:val="00BE1A74"/>
    <w:rsid w:val="00C01E9C"/>
    <w:rsid w:val="00C55E72"/>
    <w:rsid w:val="00C574B0"/>
    <w:rsid w:val="00C64000"/>
    <w:rsid w:val="00C83F8D"/>
    <w:rsid w:val="00C93EE8"/>
    <w:rsid w:val="00CD62C0"/>
    <w:rsid w:val="00CE570E"/>
    <w:rsid w:val="00D32C05"/>
    <w:rsid w:val="00D727D0"/>
    <w:rsid w:val="00D9731E"/>
    <w:rsid w:val="00DC78D3"/>
    <w:rsid w:val="00E05EAB"/>
    <w:rsid w:val="00E35899"/>
    <w:rsid w:val="00EC0EBA"/>
    <w:rsid w:val="00ED3AD9"/>
    <w:rsid w:val="00F2080C"/>
    <w:rsid w:val="00F46AC6"/>
    <w:rsid w:val="00F4755F"/>
    <w:rsid w:val="00F67D04"/>
    <w:rsid w:val="00FC79BC"/>
    <w:rsid w:val="00FF651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9F591E"/>
  <w15:chartTrackingRefBased/>
  <w15:docId w15:val="{531BA14B-22C9-4591-94B3-2268303C466C}"/>
  <w:footnotePr>
    <w:footnote w:id="0"/>
    <w:footnote w:id="1"/>
  </w:footnotePr>
  <w:endnotePr>
    <w:endnote w:id="0"/>
    <w:endnote w:id="1"/>
  </w:endnotePr>
</w:settings>
</file>

<file path=word/styles.xml><?xml version="1.0" encoding="utf-8"?>
<w:styles xmlns:r="http://schemas.openxmlformats.org/officeDocument/2006/relationships" xmlns:w14="http://schemas.microsoft.com/office/word/2010/wordml" xmlns:w="http://schemas.openxmlformats.org/wordprocessingml/2006/main">
  <w:docDefaults>
    <w:rPrDefault>
      <w:rPr>
        <w:rFonts w:asciiTheme="minorHAnsi" w:cstheme="minorBidi" w:eastAsiaTheme="minorHAnsi" w:hAnsiTheme="minorHAnsi"/>
        <w:sz w:val="22"/>
        <w:szCs w:val="22"/>
        <w:lang w:val="ru-RU" w:bidi="ar-SA" w:eastAsia="en-US"/>
      </w:rPr>
    </w:rPrDefault>
    <w:pPrDefault>
      <w:pPr>
        <w:spacing w:after="160" w:line="259" w:lineRule="auto"/>
      </w:pPr>
    </w:pPrDefault>
  </w:docDefaults>
  <w:style w:type="paragraph" w:styleId="Heading1">
    <w:name w:val="Heading 1"/>
    <w:link w:val="Heading1Char"/>
    <w:uiPriority w:val="9"/>
    <w:qFormat w:val="on"/>
    <w:pPr>
      <w:keepNext w:val="on"/>
      <w:keepLines w:val="on"/>
      <w:spacing w:before="480" w:after="0"/>
    </w:pPr>
    <w:rPr>
      <w:rFonts w:asciiTheme="majorHAnsi" w:cstheme="majorBidi" w:eastAsiaTheme="majorEastAsia" w:hAnsiTheme="majorHAnsi"/>
      <w:b/>
      <w:bCs/>
      <w:color w:val="2e74b4" w:themeColor="accent1" w:themeShade="bf"/>
      <w:sz w:val="28"/>
      <w:szCs w:val="28"/>
    </w:rPr>
  </w:style>
  <w:style w:type="paragraph" w:styleId="Heading2">
    <w:name w:val="Heading 2"/>
    <w:link w:val="Heading2Char"/>
    <w:uiPriority w:val="9"/>
    <w:semiHidden w:val="on"/>
    <w:unhideWhenUsed w:val="on"/>
    <w:qFormat w:val="on"/>
    <w:pPr>
      <w:keepNext w:val="on"/>
      <w:keepLines w:val="on"/>
      <w:spacing w:before="200" w:after="0"/>
    </w:pPr>
    <w:rPr>
      <w:rFonts w:asciiTheme="majorHAnsi" w:cstheme="majorBidi" w:eastAsiaTheme="majorEastAsia" w:hAnsiTheme="majorHAnsi"/>
      <w:b/>
      <w:bCs/>
      <w:color w:val="5b9bd5" w:themeColor="accent1"/>
      <w:sz w:val="26"/>
      <w:szCs w:val="26"/>
    </w:rPr>
  </w:style>
  <w:style w:type="paragraph" w:styleId="Heading3">
    <w:name w:val="Heading 3"/>
    <w:link w:val="Heading3Char"/>
    <w:uiPriority w:val="9"/>
    <w:semiHidden w:val="on"/>
    <w:unhideWhenUsed w:val="on"/>
    <w:qFormat w:val="on"/>
    <w:pPr>
      <w:keepNext w:val="on"/>
      <w:keepLines w:val="on"/>
      <w:spacing w:before="200" w:after="0"/>
    </w:pPr>
    <w:rPr>
      <w:rFonts w:asciiTheme="majorHAnsi" w:cstheme="majorBidi" w:eastAsiaTheme="majorEastAsia" w:hAnsiTheme="majorHAnsi"/>
      <w:b/>
      <w:bCs/>
      <w:color w:val="5b9bd5" w:themeColor="accent1"/>
    </w:rPr>
  </w:style>
  <w:style w:type="paragraph" w:styleId="Heading4">
    <w:name w:val="Heading 4"/>
    <w:link w:val="Heading4Char"/>
    <w:uiPriority w:val="9"/>
    <w:semiHidden w:val="on"/>
    <w:unhideWhenUsed w:val="on"/>
    <w:qFormat w:val="on"/>
    <w:pPr>
      <w:keepNext w:val="on"/>
      <w:keepLines w:val="on"/>
      <w:spacing w:before="200" w:after="0"/>
    </w:pPr>
    <w:rPr>
      <w:rFonts w:asciiTheme="majorHAnsi" w:cstheme="majorBidi" w:eastAsiaTheme="majorEastAsia" w:hAnsiTheme="majorHAnsi"/>
      <w:b/>
      <w:bCs/>
      <w:i/>
      <w:iCs/>
      <w:color w:val="5b9bd5" w:themeColor="accent1"/>
    </w:rPr>
  </w:style>
  <w:style w:type="paragraph" w:styleId="Heading5">
    <w:name w:val="Heading 5"/>
    <w:link w:val="Heading5Char"/>
    <w:uiPriority w:val="9"/>
    <w:semiHidden w:val="on"/>
    <w:unhideWhenUsed w:val="on"/>
    <w:qFormat w:val="on"/>
    <w:pPr>
      <w:keepNext w:val="on"/>
      <w:keepLines w:val="on"/>
      <w:spacing w:before="200" w:after="0"/>
    </w:pPr>
    <w:rPr>
      <w:rFonts w:asciiTheme="majorHAnsi" w:cstheme="majorBidi" w:eastAsiaTheme="majorEastAsia" w:hAnsiTheme="majorHAnsi"/>
      <w:color w:val="1f4d77" w:themeColor="accent1" w:themeShade="7f"/>
    </w:rPr>
  </w:style>
  <w:style w:type="paragraph" w:styleId="Heading6">
    <w:name w:val="Heading 6"/>
    <w:link w:val="Heading6Char"/>
    <w:uiPriority w:val="9"/>
    <w:semiHidden w:val="on"/>
    <w:unhideWhenUsed w:val="on"/>
    <w:qFormat w:val="on"/>
    <w:pPr>
      <w:keepNext w:val="on"/>
      <w:keepLines w:val="on"/>
      <w:spacing w:before="200" w:after="0"/>
    </w:pPr>
    <w:rPr>
      <w:rFonts w:asciiTheme="majorHAnsi" w:cstheme="majorBidi" w:eastAsiaTheme="majorEastAsia" w:hAnsiTheme="majorHAnsi"/>
      <w:i/>
      <w:iCs/>
      <w:color w:val="1f4d77" w:themeColor="accent1" w:themeShade="7f"/>
    </w:rPr>
  </w:style>
  <w:style w:type="paragraph" w:styleId="Heading7">
    <w:name w:val="Heading 7"/>
    <w:link w:val="Heading7Char"/>
    <w:uiPriority w:val="9"/>
    <w:semiHidden w:val="on"/>
    <w:unhideWhenUsed w:val="on"/>
    <w:qFormat w:val="on"/>
    <w:pPr>
      <w:keepNext w:val="on"/>
      <w:keepLines w:val="on"/>
      <w:spacing w:before="200" w:after="0"/>
    </w:pPr>
    <w:rPr>
      <w:rFonts w:asciiTheme="majorHAnsi" w:cstheme="majorBidi" w:eastAsiaTheme="majorEastAsia" w:hAnsiTheme="majorHAnsi"/>
      <w:i/>
      <w:iCs/>
      <w:color w:val="404040" w:themeColor="text1" w:themeTint="bf"/>
    </w:rPr>
  </w:style>
  <w:style w:type="paragraph" w:styleId="Heading8">
    <w:name w:val="Heading 8"/>
    <w:link w:val="Heading8Char"/>
    <w:uiPriority w:val="9"/>
    <w:semiHidden w:val="on"/>
    <w:unhideWhenUsed w:val="on"/>
    <w:qFormat w:val="on"/>
    <w:pPr>
      <w:keepNext w:val="on"/>
      <w:keepLines w:val="on"/>
      <w:spacing w:before="200" w:after="0"/>
    </w:pPr>
    <w:rPr>
      <w:rFonts w:asciiTheme="majorHAnsi" w:cstheme="majorBidi" w:eastAsiaTheme="majorEastAsia" w:hAnsiTheme="majorHAnsi"/>
      <w:color w:val="404040" w:themeColor="text1" w:themeTint="bf"/>
      <w:sz w:val="20"/>
      <w:szCs w:val="20"/>
    </w:rPr>
  </w:style>
  <w:style w:type="paragraph" w:styleId="Heading9">
    <w:name w:val="Heading 9"/>
    <w:link w:val="Heading9Char"/>
    <w:uiPriority w:val="9"/>
    <w:semiHidden w:val="on"/>
    <w:unhideWhenUsed w:val="on"/>
    <w:qFormat w:val="on"/>
    <w:pPr>
      <w:keepNext w:val="on"/>
      <w:keepLines w:val="on"/>
      <w:spacing w:before="200" w:after="0"/>
    </w:pPr>
    <w:rPr>
      <w:rFonts w:asciiTheme="majorHAnsi" w:cstheme="majorBidi" w:eastAsiaTheme="majorEastAsia" w:hAnsiTheme="majorHAnsi"/>
      <w:i/>
      <w:iCs/>
      <w:color w:val="404040" w:themeColor="text1" w:themeTint="bf"/>
      <w:sz w:val="20"/>
      <w:szCs w:val="20"/>
    </w:rPr>
  </w:style>
  <w:style w:type="paragraph" w:styleId="NoSpacing">
    <w:name w:val="No Spacing"/>
    <w:uiPriority w:val="1"/>
    <w:qFormat w:val="on"/>
    <w:pPr>
      <w:spacing w:after="0" w:line="240" w:lineRule="auto"/>
    </w:pPr>
  </w:style>
  <w:style w:type="character" w:customStyle="1" w:styleId="Heading1Char">
    <w:name w:val="Heading 1 Char"/>
    <w:link w:val="Heading1"/>
    <w:uiPriority w:val="9"/>
    <w:rPr>
      <w:rFonts w:asciiTheme="majorHAnsi" w:cstheme="majorBidi" w:eastAsiaTheme="majorEastAsia" w:hAnsiTheme="majorHAnsi"/>
      <w:b/>
      <w:bCs/>
      <w:color w:val="2e74b4" w:themeColor="accent1" w:themeShade="bf"/>
      <w:sz w:val="28"/>
      <w:szCs w:val="28"/>
    </w:rPr>
  </w:style>
  <w:style w:type="character" w:customStyle="1" w:styleId="Heading2Char">
    <w:name w:val="Heading 2 Char"/>
    <w:link w:val="Heading2"/>
    <w:uiPriority w:val="9"/>
    <w:rPr>
      <w:rFonts w:asciiTheme="majorHAnsi" w:cstheme="majorBidi" w:eastAsiaTheme="majorEastAsia" w:hAnsiTheme="majorHAnsi"/>
      <w:b/>
      <w:bCs/>
      <w:color w:val="5b9bd5" w:themeColor="accent1"/>
      <w:sz w:val="26"/>
      <w:szCs w:val="26"/>
    </w:rPr>
  </w:style>
  <w:style w:type="character" w:customStyle="1" w:styleId="Heading3Char">
    <w:name w:val="Heading 3 Char"/>
    <w:link w:val="Heading3"/>
    <w:uiPriority w:val="9"/>
    <w:rPr>
      <w:rFonts w:asciiTheme="majorHAnsi" w:cstheme="majorBidi" w:eastAsiaTheme="majorEastAsia" w:hAnsiTheme="majorHAnsi"/>
      <w:b/>
      <w:bCs/>
      <w:color w:val="5b9bd5" w:themeColor="accent1"/>
    </w:rPr>
  </w:style>
  <w:style w:type="character" w:customStyle="1" w:styleId="Heading4Char">
    <w:name w:val="Heading 4 Char"/>
    <w:link w:val="Heading4"/>
    <w:uiPriority w:val="9"/>
    <w:rPr>
      <w:rFonts w:asciiTheme="majorHAnsi" w:cstheme="majorBidi" w:eastAsiaTheme="majorEastAsia" w:hAnsiTheme="majorHAnsi"/>
      <w:b/>
      <w:bCs/>
      <w:i/>
      <w:iCs/>
      <w:color w:val="5b9bd5" w:themeColor="accent1"/>
    </w:rPr>
  </w:style>
  <w:style w:type="character" w:customStyle="1" w:styleId="Heading5Char">
    <w:name w:val="Heading 5 Char"/>
    <w:link w:val="Heading5"/>
    <w:uiPriority w:val="9"/>
    <w:rPr>
      <w:rFonts w:asciiTheme="majorHAnsi" w:cstheme="majorBidi" w:eastAsiaTheme="majorEastAsia" w:hAnsiTheme="majorHAnsi"/>
      <w:color w:val="1f4d77" w:themeColor="accent1" w:themeShade="7f"/>
    </w:rPr>
  </w:style>
  <w:style w:type="character" w:customStyle="1" w:styleId="Heading6Char">
    <w:name w:val="Heading 6 Char"/>
    <w:link w:val="Heading6"/>
    <w:uiPriority w:val="9"/>
    <w:rPr>
      <w:rFonts w:asciiTheme="majorHAnsi" w:cstheme="majorBidi" w:eastAsiaTheme="majorEastAsia" w:hAnsiTheme="majorHAnsi"/>
      <w:i/>
      <w:iCs/>
      <w:color w:val="1f4d77" w:themeColor="accent1" w:themeShade="7f"/>
    </w:rPr>
  </w:style>
  <w:style w:type="character" w:customStyle="1" w:styleId="Heading7Char">
    <w:name w:val="Heading 7 Char"/>
    <w:link w:val="Heading7"/>
    <w:uiPriority w:val="9"/>
    <w:rPr>
      <w:rFonts w:asciiTheme="majorHAnsi" w:cstheme="majorBidi" w:eastAsiaTheme="majorEastAsia" w:hAnsiTheme="majorHAnsi"/>
      <w:i/>
      <w:iCs/>
      <w:color w:val="404040" w:themeColor="text1" w:themeTint="bf"/>
    </w:rPr>
  </w:style>
  <w:style w:type="character" w:customStyle="1" w:styleId="Heading8Char">
    <w:name w:val="Heading 8 Char"/>
    <w:link w:val="Heading8"/>
    <w:uiPriority w:val="9"/>
    <w:rPr>
      <w:rFonts w:asciiTheme="majorHAnsi" w:cstheme="majorBidi" w:eastAsiaTheme="majorEastAsia" w:hAnsiTheme="majorHAnsi"/>
      <w:color w:val="404040" w:themeColor="text1" w:themeTint="bf"/>
      <w:sz w:val="20"/>
      <w:szCs w:val="20"/>
    </w:rPr>
  </w:style>
  <w:style w:type="character" w:customStyle="1" w:styleId="Heading9Char">
    <w:name w:val="Heading 9 Char"/>
    <w:link w:val="Heading9"/>
    <w:uiPriority w:val="9"/>
    <w:rPr>
      <w:rFonts w:asciiTheme="majorHAnsi" w:cstheme="majorBidi" w:eastAsiaTheme="majorEastAsia" w:hAnsiTheme="majorHAnsi"/>
      <w:i/>
      <w:iCs/>
      <w:color w:val="404040" w:themeColor="text1" w:themeTint="bf"/>
      <w:sz w:val="20"/>
      <w:szCs w:val="20"/>
    </w:rPr>
  </w:style>
  <w:style w:type="paragraph" w:styleId="Title">
    <w:name w:val="Title"/>
    <w:link w:val="TitleChar"/>
    <w:uiPriority w:val="10"/>
    <w:qFormat w:val="on"/>
    <w:pPr>
      <w:pBdr>
        <w:bottom w:val="single" w:color="5b9bd5" w:themeColor="accent1" w:sz="8" w:space="4"/>
      </w:pBdr>
      <w:spacing w:after="300" w:line="240" w:lineRule="auto"/>
      <w:contextualSpacing w:val="on"/>
    </w:pPr>
    <w:rPr>
      <w:rFonts w:asciiTheme="majorHAnsi" w:cstheme="majorBidi" w:eastAsiaTheme="majorEastAsia" w:hAnsiTheme="majorHAnsi"/>
      <w:color w:val="333f4f" w:themeColor="text2" w:themeShade="bf"/>
      <w:spacing w:val="5"/>
      <w:sz w:val="52"/>
      <w:szCs w:val="52"/>
    </w:rPr>
  </w:style>
  <w:style w:type="character" w:customStyle="1" w:styleId="TitleChar">
    <w:name w:val="Title Char"/>
    <w:link w:val="Title"/>
    <w:uiPriority w:val="10"/>
    <w:rPr>
      <w:rFonts w:asciiTheme="majorHAnsi" w:cstheme="majorBidi" w:eastAsiaTheme="majorEastAsia" w:hAnsiTheme="majorHAnsi"/>
      <w:color w:val="333f4f" w:themeColor="text2" w:themeShade="bf"/>
      <w:spacing w:val="5"/>
      <w:sz w:val="52"/>
      <w:szCs w:val="52"/>
    </w:rPr>
  </w:style>
  <w:style w:type="paragraph" w:styleId="Subtitle">
    <w:name w:val="Subtitle"/>
    <w:link w:val="SubtitleChar"/>
    <w:uiPriority w:val="11"/>
    <w:qFormat w:val="on"/>
    <w:pPr/>
    <w:rPr>
      <w:rFonts w:asciiTheme="majorHAnsi" w:cstheme="majorBidi" w:eastAsiaTheme="majorEastAsia" w:hAnsiTheme="majorHAnsi"/>
      <w:i/>
      <w:iCs/>
      <w:color w:val="5b9bd5" w:themeColor="accent1"/>
      <w:spacing w:val="15"/>
      <w:sz w:val="24"/>
      <w:szCs w:val="24"/>
    </w:rPr>
  </w:style>
  <w:style w:type="character" w:customStyle="1" w:styleId="SubtitleChar">
    <w:name w:val="Subtitle Char"/>
    <w:link w:val="Subtitle"/>
    <w:uiPriority w:val="11"/>
    <w:rPr>
      <w:rFonts w:asciiTheme="majorHAnsi" w:cstheme="majorBidi" w:eastAsiaTheme="majorEastAsia" w:hAnsiTheme="majorHAnsi"/>
      <w:i/>
      <w:iCs/>
      <w:color w:val="5b9bd5" w:themeColor="accent1"/>
      <w:spacing w:val="15"/>
      <w:sz w:val="24"/>
      <w:szCs w:val="24"/>
    </w:rPr>
  </w:style>
  <w:style w:type="character" w:styleId="SubtleEmphasis">
    <w:name w:val="Subtle Emphasis"/>
    <w:uiPriority w:val="19"/>
    <w:qFormat w:val="on"/>
    <w:rPr>
      <w:i/>
      <w:iCs/>
      <w:color w:val="808080" w:themeColor="text1" w:themeTint="7f"/>
    </w:rPr>
  </w:style>
  <w:style w:type="character" w:styleId="Emphasis">
    <w:name w:val="Emphasis"/>
    <w:uiPriority w:val="20"/>
    <w:qFormat w:val="on"/>
    <w:rPr>
      <w:i/>
      <w:iCs/>
    </w:rPr>
  </w:style>
  <w:style w:type="character" w:styleId="IntenseEmphasis">
    <w:name w:val="Intense Emphasis"/>
    <w:uiPriority w:val="21"/>
    <w:qFormat w:val="on"/>
    <w:rPr>
      <w:b/>
      <w:bCs/>
      <w:i/>
      <w:iCs/>
      <w:color w:val="5b9bd5" w:themeColor="accent1"/>
    </w:rPr>
  </w:style>
  <w:style w:type="character" w:styleId="Strong">
    <w:name w:val="Strong"/>
    <w:uiPriority w:val="22"/>
    <w:qFormat w:val="on"/>
    <w:rPr>
      <w:b/>
      <w:bCs/>
    </w:rPr>
  </w:style>
  <w:style w:type="paragraph" w:styleId="Quote">
    <w:name w:val="Quote"/>
    <w:link w:val="QuoteChar"/>
    <w:uiPriority w:val="29"/>
    <w:qFormat w:val="on"/>
    <w:rPr>
      <w:i/>
      <w:iCs/>
      <w:color w:val="000000" w:themeColor="text1"/>
    </w:rPr>
  </w:style>
  <w:style w:type="character" w:customStyle="1" w:styleId="QuoteChar">
    <w:name w:val="Quote Char"/>
    <w:link w:val="Quote"/>
    <w:uiPriority w:val="29"/>
    <w:rPr>
      <w:i/>
      <w:iCs/>
      <w:color w:val="000000" w:themeColor="text1"/>
    </w:rPr>
  </w:style>
  <w:style w:type="paragraph" w:styleId="IntenseQuote">
    <w:name w:val="Intense Quote"/>
    <w:link w:val="IntenseQuoteChar"/>
    <w:uiPriority w:val="30"/>
    <w:qFormat w:val="on"/>
    <w:pPr>
      <w:pBdr>
        <w:bottom w:val="single" w:color="5b9bd5" w:themeColor="accent1" w:sz="4" w:space="4"/>
      </w:pBdr>
      <w:spacing w:before="200" w:after="280"/>
      <w:ind w:left="936" w:right="936"/>
    </w:pPr>
    <w:rPr>
      <w:b/>
      <w:bCs/>
      <w:i/>
      <w:iCs/>
      <w:color w:val="5b9bd5" w:themeColor="accent1"/>
    </w:rPr>
  </w:style>
  <w:style w:type="character" w:customStyle="1" w:styleId="IntenseQuoteChar">
    <w:name w:val="Intense Quote Char"/>
    <w:link w:val="IntenseQuote"/>
    <w:uiPriority w:val="30"/>
    <w:rPr>
      <w:b/>
      <w:bCs/>
      <w:i/>
      <w:iCs/>
      <w:color w:val="5b9bd5" w:themeColor="accent1"/>
    </w:rPr>
  </w:style>
  <w:style w:type="character" w:styleId="SubtleReference">
    <w:name w:val="Subtle Reference"/>
    <w:uiPriority w:val="31"/>
    <w:qFormat w:val="on"/>
    <w:rPr>
      <w:smallCaps/>
      <w:color w:val="ed7d31" w:themeColor="accent2"/>
      <w:u w:val="single"/>
    </w:rPr>
  </w:style>
  <w:style w:type="character" w:styleId="IntenseReference">
    <w:name w:val="Intense Reference"/>
    <w:uiPriority w:val="32"/>
    <w:qFormat w:val="on"/>
    <w:rPr>
      <w:b/>
      <w:bCs/>
      <w:smallCaps/>
      <w:color w:val="ed7d31" w:themeColor="accent2"/>
      <w:spacing w:val="5"/>
      <w:u w:val="single"/>
    </w:rPr>
  </w:style>
  <w:style w:type="character" w:styleId="BookTitle">
    <w:name w:val="Book Title"/>
    <w:uiPriority w:val="33"/>
    <w:qFormat w:val="on"/>
    <w:rPr>
      <w:b/>
      <w:bCs/>
      <w:smallCaps/>
      <w:spacing w:val="5"/>
    </w:rPr>
  </w:style>
  <w:style w:type="paragraph" w:styleId="Footnotetext">
    <w:name w:val="Footnote text"/>
    <w:link w:val="FootnoteTextChar"/>
    <w:uiPriority w:val="99"/>
    <w:semiHidden w:val="on"/>
    <w:unhideWhenUsed w:val="on"/>
    <w:pPr>
      <w:spacing w:after="0" w:line="240" w:lineRule="auto"/>
    </w:pPr>
    <w:rPr>
      <w:sz w:val="20"/>
      <w:szCs w:val="20"/>
    </w:rPr>
  </w:style>
  <w:style w:type="character" w:customStyle="1" w:styleId="FootnoteTextChar">
    <w:name w:val="Footnote Text Char"/>
    <w:link w:val="Footnotetext"/>
    <w:uiPriority w:val="99"/>
    <w:semiHidden w:val="on"/>
    <w:rPr>
      <w:sz w:val="20"/>
      <w:szCs w:val="20"/>
    </w:rPr>
  </w:style>
  <w:style w:type="character" w:styleId="Footnotereference">
    <w:name w:val="Footnote reference"/>
    <w:uiPriority w:val="99"/>
    <w:semiHidden w:val="on"/>
    <w:unhideWhenUsed w:val="on"/>
    <w:rPr>
      <w:vertAlign w:val="superscript"/>
    </w:rPr>
  </w:style>
  <w:style w:type="paragraph" w:styleId="Endnotetext">
    <w:name w:val="Endnote text"/>
    <w:link w:val="EndnoteTextChar"/>
    <w:uiPriority w:val="99"/>
    <w:semiHidden w:val="on"/>
    <w:unhideWhenUsed w:val="on"/>
    <w:pPr>
      <w:spacing w:after="0" w:line="240" w:lineRule="auto"/>
    </w:pPr>
    <w:rPr>
      <w:sz w:val="20"/>
      <w:szCs w:val="20"/>
    </w:rPr>
  </w:style>
  <w:style w:type="character" w:customStyle="1" w:styleId="EndnoteTextChar">
    <w:name w:val="Endnote Text Char"/>
    <w:link w:val="Endnotetext"/>
    <w:uiPriority w:val="99"/>
    <w:semiHidden w:val="on"/>
    <w:rPr>
      <w:sz w:val="20"/>
      <w:szCs w:val="20"/>
    </w:rPr>
  </w:style>
  <w:style w:type="character" w:styleId="Endnotereference">
    <w:name w:val="Endnote reference"/>
    <w:uiPriority w:val="99"/>
    <w:semiHidden w:val="on"/>
    <w:unhideWhenUsed w:val="on"/>
    <w:rPr>
      <w:vertAlign w:val="superscript"/>
    </w:rPr>
  </w:style>
  <w:style w:type="character" w:styleId="Hyperlink">
    <w:name w:val="Hyperlink"/>
    <w:uiPriority w:val="99"/>
    <w:unhideWhenUsed w:val="on"/>
    <w:rPr>
      <w:color w:val="0563c1" w:themeColor="hyperlink"/>
      <w:u w:val="single"/>
    </w:rPr>
  </w:style>
  <w:style w:type="paragraph" w:styleId="PlainText">
    <w:name w:val="Plain Text"/>
    <w:link w:val="PlainTextChar"/>
    <w:uiPriority w:val="99"/>
    <w:semiHidden w:val="on"/>
    <w:unhideWhenUsed w:val="on"/>
    <w:pPr>
      <w:spacing w:after="0" w:line="240" w:lineRule="auto"/>
    </w:pPr>
    <w:rPr>
      <w:rFonts w:ascii="Courier New" w:cs="Courier New" w:hAnsi="Courier New"/>
      <w:sz w:val="21"/>
      <w:szCs w:val="21"/>
    </w:rPr>
  </w:style>
  <w:style w:type="character" w:customStyle="1" w:styleId="PlainTextChar">
    <w:name w:val="Plain Text Char"/>
    <w:link w:val="PlainText"/>
    <w:uiPriority w:val="99"/>
    <w:rPr>
      <w:rFonts w:ascii="Courier New" w:cs="Courier New" w:hAnsi="Courier New"/>
      <w:sz w:val="21"/>
      <w:szCs w:val="21"/>
    </w:rPr>
  </w:style>
  <w:style w:type="character" w:customStyle="1" w:styleId="HeaderChar">
    <w:name w:val="Header Char"/>
    <w:uiPriority w:val="99"/>
  </w:style>
  <w:style w:type="character" w:customStyle="1" w:styleId="FooterChar">
    <w:name w:val="Footer Char"/>
    <w:uiPriority w:val="99"/>
  </w:style>
  <w:style w:type="paragraph" w:styleId="Caption">
    <w:name w:val="Caption"/>
    <w:uiPriority w:val="35"/>
    <w:unhideWhenUsed w:val="on"/>
    <w:qFormat w:val="on"/>
    <w:pPr>
      <w:spacing w:after="200" w:line="240" w:lineRule="auto"/>
    </w:pPr>
    <w:rPr>
      <w:i/>
      <w:iCs/>
      <w:color w:val="44546a" w:themeColor="text2"/>
      <w:sz w:val="18"/>
      <w:szCs w:val="18"/>
    </w:rPr>
  </w:style>
  <w:style w:type="paragraph" w:default="1" w:styleId="Normal">
    <w:name w:val="Normal"/>
    <w:uiPriority w:val="99"/>
    <w:qFormat w:val="on"/>
    <w:pPr>
      <w:spacing w:after="0" w:line="240" w:lineRule="auto"/>
    </w:pPr>
    <w:rPr>
      <w:rFonts w:ascii="Times New Roman" w:cs="Times New Roman" w:eastAsia="Times New Roman" w:hAnsi="Times New Roman"/>
      <w:sz w:val="24"/>
      <w:szCs w:val="24"/>
      <w:lang w:eastAsia="ru-RU"/>
    </w:rPr>
  </w:style>
  <w:style w:type="character" w:default="1" w:styleId="DefaultParagraphFont">
    <w:name w:val="Default Paragraph Font"/>
    <w:uiPriority w:val="1"/>
    <w:semiHidden w:val="on"/>
    <w:unhideWhenUsed w:val="on"/>
  </w:style>
  <w:style w:type="table" w:default="1" w:styleId="NormalTable">
    <w:name w:val="Normal Table"/>
    <w:uiPriority w:val="99"/>
    <w:semiHidden w:val="on"/>
    <w:unhideWhenUsed w:val="on"/>
    <w:tblPr>
      <w:tblInd w:w="0" w:type="dxa"/>
      <w:tblCellMar>
        <w:top w:w="0" w:type="dxa"/>
        <w:left w:w="108" w:type="dxa"/>
        <w:bottom w:w="0" w:type="dxa"/>
        <w:right w:w="108" w:type="dxa"/>
      </w:tblCellMar>
    </w:tblPr>
  </w:style>
  <w:style w:type="numbering" w:default="1" w:styleId="NoList">
    <w:name w:val="No List"/>
    <w:uiPriority w:val="99"/>
    <w:semiHidden w:val="on"/>
    <w:unhideWhenUsed w:val="on"/>
  </w:style>
  <w:style w:type="table" w:styleId="TableGrid">
    <w:name w:val="Table Grid"/>
    <w:basedOn w:val="NormalTable"/>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uiPriority w:val="34"/>
    <w:qFormat w:val="on"/>
    <w:pPr>
      <w:spacing w:after="160" w:line="259" w:lineRule="auto"/>
      <w:ind w:left="720"/>
      <w:contextualSpacing w:val="on"/>
    </w:pPr>
    <w:rPr>
      <w:rFonts w:asciiTheme="minorHAnsi" w:cstheme="minorBidi" w:eastAsiaTheme="minorHAnsi" w:hAnsiTheme="minorHAnsi"/>
      <w:sz w:val="22"/>
      <w:szCs w:val="22"/>
      <w:lang w:eastAsia="en-US"/>
    </w:rPr>
  </w:style>
  <w:style w:type="paragraph" w:styleId="Header">
    <w:name w:val="Header"/>
    <w:basedOn w:val="Normal"/>
    <w:link w:val="ВерхнийколонтитулЗнак"/>
    <w:uiPriority w:val="99"/>
    <w:unhideWhenUsed w:val="on"/>
    <w:pPr>
      <w:tabs>
        <w:tab w:val="center" w:pos="4677"/>
        <w:tab w:val="right" w:pos="9355"/>
      </w:tabs>
    </w:pPr>
  </w:style>
  <w:style w:type="character" w:customStyle="1" w:styleId="ВерхнийколонтитулЗнак">
    <w:name w:val="Верхний колонтитул Знак"/>
    <w:basedOn w:val="DefaultParagraphFont"/>
    <w:link w:val="Header"/>
    <w:uiPriority w:val="99"/>
    <w:rPr>
      <w:rFonts w:ascii="Times New Roman" w:cs="Times New Roman" w:eastAsia="Times New Roman" w:hAnsi="Times New Roman"/>
      <w:sz w:val="24"/>
      <w:szCs w:val="24"/>
      <w:lang w:eastAsia="ru-RU"/>
    </w:rPr>
  </w:style>
  <w:style w:type="paragraph" w:styleId="Footer">
    <w:name w:val="Footer"/>
    <w:basedOn w:val="Normal"/>
    <w:link w:val="НижнийколонтитулЗнак"/>
    <w:uiPriority w:val="99"/>
    <w:unhideWhenUsed w:val="on"/>
    <w:pPr>
      <w:tabs>
        <w:tab w:val="center" w:pos="4677"/>
        <w:tab w:val="right" w:pos="9355"/>
      </w:tabs>
    </w:pPr>
  </w:style>
  <w:style w:type="character" w:customStyle="1" w:styleId="НижнийколонтитулЗнак">
    <w:name w:val="Нижний колонтитул Знак"/>
    <w:basedOn w:val="DefaultParagraphFont"/>
    <w:link w:val="Footer"/>
    <w:uiPriority w:val="99"/>
    <w:rPr>
      <w:rFonts w:ascii="Times New Roman" w:cs="Times New Roman" w:eastAsia="Times New Roman" w:hAnsi="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3236312">
      <w:bodyDiv w:val="1"/>
      <w:marLeft w:val="0"/>
      <w:marRight w:val="0"/>
      <w:marTop w:val="0"/>
      <w:marBottom w:val="0"/>
      <w:divBdr>
        <w:top w:val="none" w:sz="0" w:space="0" w:color="auto"/>
        <w:left w:val="none" w:sz="0" w:space="0" w:color="auto"/>
        <w:bottom w:val="none" w:sz="0" w:space="0" w:color="auto"/>
        <w:right w:val="none" w:sz="0" w:space="0" w:color="auto"/>
      </w:divBdr>
    </w:div>
    <w:div w:id="1127167334">
      <w:bodyDiv w:val="1"/>
      <w:marLeft w:val="0"/>
      <w:marRight w:val="0"/>
      <w:marTop w:val="0"/>
      <w:marBottom w:val="0"/>
      <w:divBdr>
        <w:top w:val="none" w:sz="0" w:space="0" w:color="auto"/>
        <w:left w:val="none" w:sz="0" w:space="0" w:color="auto"/>
        <w:bottom w:val="none" w:sz="0" w:space="0" w:color="auto"/>
        <w:right w:val="none" w:sz="0" w:space="0" w:color="auto"/>
      </w:divBdr>
    </w:div>
    <w:div w:id="1529678996">
      <w:bodyDiv w:val="1"/>
      <w:marLeft w:val="0"/>
      <w:marRight w:val="0"/>
      <w:marTop w:val="0"/>
      <w:marBottom w:val="0"/>
      <w:divBdr>
        <w:top w:val="none" w:sz="0" w:space="0" w:color="auto"/>
        <w:left w:val="none" w:sz="0" w:space="0" w:color="auto"/>
        <w:bottom w:val="none" w:sz="0" w:space="0" w:color="auto"/>
        <w:right w:val="none" w:sz="0" w:space="0" w:color="auto"/>
      </w:divBdr>
    </w:div>
    <w:div w:id="1728186448">
      <w:bodyDiv w:val="1"/>
      <w:marLeft w:val="0"/>
      <w:marRight w:val="0"/>
      <w:marTop w:val="0"/>
      <w:marBottom w:val="0"/>
      <w:divBdr>
        <w:top w:val="none" w:sz="0" w:space="0" w:color="auto"/>
        <w:left w:val="none" w:sz="0" w:space="0" w:color="auto"/>
        <w:bottom w:val="none" w:sz="0" w:space="0" w:color="auto"/>
        <w:right w:val="none" w:sz="0" w:space="0" w:color="auto"/>
      </w:divBdr>
    </w:div>
    <w:div w:id="1774083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 Type="http://schemas.openxmlformats.org/officeDocument/2006/relationships/styles" Target="styles.xml"/><Relationship Id="rId3" Type="http://schemas.openxmlformats.org/officeDocument/2006/relationships/settings" Target="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4" Type="http://schemas.openxmlformats.org/officeDocument/2006/relationships/webSettings" Target="webSettings.xml"/></Relationships>
</file>

<file path=word/_rels/endnotes.xml.rels><?xml version="1.0" encoding="UTF-8" standalone="yes"?>
<Relationships xmlns="http://schemas.openxmlformats.org/package/2006/relationships"></Relationships>
</file>

<file path=word/_rels/footnotes.xml.rels><?xml version="1.0" encoding="UTF-8" standalone="yes"?>
<Relationships xmlns="http://schemas.openxmlformats.org/package/2006/relationships"></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Arab" typeface="Times New Roman"/>
        <a:font script="Beng" typeface="Vrinda"/>
        <a:font script="Cher" typeface="Plantagenet Cherokee"/>
        <a:font script="Deva" typeface="Mangal"/>
        <a:font script="Ethi" typeface="Nyala"/>
        <a:font script="Geor" typeface="Sylfaen"/>
        <a:font script="Gujr" typeface="Shruti"/>
        <a:font script="Guru" typeface="Raavi"/>
        <a:font script="Hang" typeface="맑은 고딕"/>
        <a:font script="Hebr" typeface="Times New Roman"/>
        <a:font script="Knda" typeface="Tunga"/>
        <a:font script="Khmr" typeface="MoolBoran"/>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Angsana New"/>
        <a:font script="Tibt" typeface="Microsoft Himalaya"/>
        <a:font script="Cans" typeface="Euphemia"/>
        <a:font script="Yiii" typeface="Microsoft Yi Baiti"/>
        <a:font script="Hans" typeface="宋体"/>
        <a:font script="Hant" typeface="新細明體"/>
        <a:font script="Jpan" typeface="ＭＳ ゴシック"/>
      </a:majorFont>
      <a:minorFont>
        <a:latin typeface="Calibri" panose="020F0502020204030204"/>
        <a:ea typeface=""/>
        <a:cs typeface=""/>
        <a:font script="Arab" typeface="Arial"/>
        <a:font script="Beng" typeface="Vrinda"/>
        <a:font script="Cher" typeface="Plantagenet Cherokee"/>
        <a:font script="Deva" typeface="Mangal"/>
        <a:font script="Ethi" typeface="Nyala"/>
        <a:font script="Geor" typeface="Sylfaen"/>
        <a:font script="Gujr" typeface="Shruti"/>
        <a:font script="Guru" typeface="Raavi"/>
        <a:font script="Hang" typeface="맑은 고딕"/>
        <a:font script="Hebr" typeface="Arial"/>
        <a:font script="Knda" typeface="Tunga"/>
        <a:font script="Khmr" typeface="DaunPenh"/>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Cordia New"/>
        <a:font script="Tibt" typeface="Microsoft Himalaya"/>
        <a:font script="Cans" typeface="Euphemia"/>
        <a:font script="Yiii" typeface="Microsoft Yi Baiti"/>
        <a:font script="Hans" typeface="宋体"/>
        <a:font script="Hant" typeface="新細明體"/>
        <a:font script="Jpan" typeface="ＭＳ 明朝"/>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4E73D5-D75F-4096-8B05-AC33C80393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9</Pages>
  <Words>3506</Words>
  <Characters>19986</Characters>
  <Application>Microsoft Office Word</Application>
  <DocSecurity>0</DocSecurity>
  <Lines>166</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Сергеев Алексей Борисович</dc:creator>
  <cp:lastModifiedBy>Author</cp:lastModifiedBy>
</cp:coreProperties>
</file>