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Договор возмездного оказания услуг № 4943659</w:t>
      </w:r>
    </w:p>
    <w:p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Санкт-Петербург 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                                      «___» мая 2024 г.</w:t>
      </w: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line="240" w:lineRule="auto"/>
        <w:ind w:firstLine="284"/>
        <w:jc w:val="both"/>
      </w:pPr>
      <w:r>
        <w:rPr>
          <w:rFonts w:ascii="Times New Roman" w:hAnsi="Times New Roman"/>
          <w:b/>
          <w:bCs/>
        </w:rPr>
        <w:t>__________________________________</w:t>
      </w:r>
      <w:r>
        <w:rPr>
          <w:rFonts w:ascii="Times New Roman" w:hAnsi="Times New Roman"/>
        </w:rPr>
        <w:t>, именуемое в дальнейшем «</w:t>
      </w:r>
      <w:r>
        <w:rPr>
          <w:rFonts w:ascii="Times New Roman" w:hAnsi="Times New Roman"/>
          <w:b/>
        </w:rPr>
        <w:t>Исполнитель»</w:t>
      </w:r>
      <w:r>
        <w:rPr>
          <w:rFonts w:ascii="Times New Roman" w:hAnsi="Times New Roman"/>
        </w:rPr>
        <w:t xml:space="preserve"> с одной стороны, и</w:t>
      </w:r>
      <w:r>
        <w:t xml:space="preserve"> </w:t>
      </w: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Санкт-Петербургское государственное бюджетное учреждение культуры «Детский драматический «Театр у Нарвских ворот»</w:t>
      </w:r>
      <w:r>
        <w:rPr>
          <w:rFonts w:ascii="Times New Roman" w:hAnsi="Times New Roman"/>
          <w:color w:val="000000"/>
        </w:rPr>
        <w:t>, действующее от имени Санкт-Петербурга, именуемое в дальнейшем «Заказчик», в лице художественного руководителя Лутц Валентины Михайловны, действующий на основании Устава, (далее − Стороны), заключили настоящий договор (далее − Договор) о нижеследующем:</w:t>
      </w: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1. ПРЕДМЕТ ДОГОВОРА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1.1. По настоящему договору Исполнитель обязуется оказать Заказчику </w:t>
      </w:r>
      <w:r>
        <w:rPr>
          <w:rFonts w:ascii="Times New Roman" w:hAnsi="Times New Roman"/>
          <w:b/>
          <w:bCs/>
          <w:color w:val="000000"/>
        </w:rPr>
        <w:t xml:space="preserve">услуги по участию в Межрегиональной конференции руководителей театров СПб и ЛО «Комаровские встречи-2024» </w:t>
      </w:r>
      <w:r>
        <w:rPr>
          <w:rFonts w:ascii="Times New Roman" w:hAnsi="Times New Roman"/>
          <w:color w:val="000000"/>
        </w:rPr>
        <w:t xml:space="preserve">(далее – Конференция), а Заказчик обязуется принять и оплатить оказанные услуги. 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1.2. Место оказания услуг: Санкт-Петербург, Курортный район, посёлок Комарово, улица Лейтенантов, 31.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1.3. Дата проведения Конференции: с 10:00 «29» мая 2024 г. по 19:00 «30» мая 2024 г.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</w:rPr>
      </w:pPr>
    </w:p>
    <w:p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2. ОБЯЗАННОСТИ ИСПОЛНИТЕЛЯ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 Исполнитель оказывает следующие услуги по проведению Конференции: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2.1.1.</w:t>
      </w:r>
      <w:r>
        <w:t xml:space="preserve"> </w:t>
      </w:r>
      <w:r>
        <w:rPr>
          <w:rFonts w:ascii="Times New Roman" w:hAnsi="Times New Roman"/>
          <w:color w:val="000000"/>
        </w:rPr>
        <w:t>Провести «Межрегиональную конференцию руководителей театров СПб и ЛО «Комаровские встречи-2024».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2.1.2. Обеспечить возможность участия в Конференции для 2 (двух) участника(ов), направленных Заказчиком.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2.1.3. Привлечь к проведению Конференции квалифицированных спикеров и экспертов.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2.1.4. Обеспечить предоставление участникам Конференции в электроном виде информационных материалов и презентаций спикеров.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2.1.5. Обеспечить пребывание участников в месте проведения Конференции.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2.1.6. Обеспечить техническое сопровождение Конференции. 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2.3. Исполнитель в день Конференции готовит и предает Заказчику подписанный со стороны Исполнителя акт сдачи-приемки оказанных услуг.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3. ОБЯЗАННОСТИ ЗАКАЗЧИКА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3.1. Заказчик назначает ответственного представителя по осуществлению административно-распорядительных функций на период проведения Конференции, в соответствии с предметом Договора.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3.2. Заказчик обязуется соблюдать на территории проведения Конференции требования пожарной безопасности</w:t>
      </w:r>
      <w:r>
        <w:rPr>
          <w:rFonts w:ascii="Times New Roman" w:hAnsi="Times New Roman"/>
          <w:color w:val="000000"/>
          <w:lang w:eastAsia="ar-SA"/>
        </w:rPr>
        <w:t>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3.3. Заказчик несет ответственность за ущерб, нанесенный Исполнителю или месту проведения Конференции, в том числе зданию, имуществу, элементам двора, участниками Конференции.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3.4. Заказчик обязан в день Конференции получить акты оказанных услуг у Исполнителя, подписать и вернуть один экземпляр акта в Исполнителя либо представить мотивированный отказ от подписания.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3.5. Не позднее 10 (календарных) дней до даты проведения Конференции направить Исполнителю перечень лиц, направляемых Заказчиком для участия в Конференции.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3.6. В случае не исполнения Заказчиком обязанности, предусмотренной п. 3.4. Договора в течение 2 (двух) рабочих дней, услуги считаются оказанными и принятыми в полном объеме.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4. РАСЧЕТЫ ПО ДОГОВОРУ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4.1.За предоставленные услуги Заказчик выплачивает Исполнителю вознаграждение в размере </w:t>
      </w:r>
      <w:r>
        <w:rPr>
          <w:rFonts w:ascii="Times New Roman" w:hAnsi="Times New Roman"/>
          <w:b/>
          <w:color w:val="000000"/>
        </w:rPr>
        <w:t>30 000,00 (тридцать тысяч рублей 00 копеек), в т.ч. НДС 20%, что составляет 5 000,00 руб.</w:t>
      </w:r>
      <w:r>
        <w:rPr>
          <w:rFonts w:ascii="Times New Roman" w:hAnsi="Times New Roman"/>
          <w:color w:val="000000"/>
        </w:rPr>
        <w:t xml:space="preserve"> 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>4.2. Заказчик производит оплату услуг Исполнителя путем банковского перевода на счет Исполнителя не позднее 5 (пять) банковских дней с даты подписания настоящего Договора.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4.3. Датой оплаты считается дата зачисления денежных средств на счет Исполнителя.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4.4. Источник финансирования: внебюджетные средства, средства бюджетных учреждений.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</w:rPr>
      </w:pPr>
    </w:p>
    <w:p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5. КОНФИДЕНЦИАЛЬНОСТЬ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5.1. Под конфиденциальной понимается любая информация технического, коммерческого, финансового характера, прямо или косвенно относящаяся к взаимоотношениям сторон по Договору, не опубликованная в открытой печати или иным образом не переданная для свободного доступа, ставшая известной сторонам в ходе выполнения Договора или предварительных переговоров о его заключении;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5.2. Стороны обязуются не разглашать третьим лицам конфиденциальную информацию и не использовать её любым другим образом, кроме как для исполнения обязанностей по Договору. Стороны обязуются предпринять все необходимые меры для предотвращения разглашения конфиденциальной информации его сотрудниками, в том числе и после их увольнения;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5.3. Предпринятые каждой стороной меры по предотвращению разглашения конфиденциальной информации, должны быть не меньшими, чем меры, предпринимаемые другой стороной по предотвращению разглашения собственной информации, считаемой ею конфиденциальной.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6. ОТВЕТСТВЕННОСТЬ СТОРОН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6.1. Ответственность Исполнителя: 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6.1.1. За не предоставление по вине Исполнителя услуг, указанных в п.1.1. Договора, в установленный договором срок, Исполнитель возвращает Заказчику сумму фактически выплаченной предоплаты.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6.2. Ответственность Заказчика: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6.2.1. В случае неисполнения Заказчиком п. 4.1. Договора Исполнитель вправе не допускать лиц, направленных Заказчиком, до участия в Конференции.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6.3. В случае не явки на Конференцию лиц, направленных Заказчиком для участия в Конференции, услуги считаются оказанными в полном объеме, а денежные средства возврату не подлежат.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6.4. В случае причинения ущерба Исполнителю, в том числе зданию, имуществу, элементам двора, участниками Конференции Заказчик осуществляет возмещение в полном объеме в течение 5 (пять) рабочих дней с даты получения соответствующего требования.</w:t>
      </w: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7. ИЗМЕНЕНИЕ И РАСТОРЖЕНИЕ ДОГОВОРА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 Изменение условий Договора или его расторжение возможно по соглашению Сторон.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 Договор подлежит досрочному расторжению по требованию Исполнителя в случаях: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7.2.1. Умышленного или неосторожного ухудшения состояния территории проведения Конференции и находящегося на ней здания, имущества и оборудования.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7.2.2. При невыполнении или ненадлежащем выполнении обязательств по Договору со стороны Заказчика.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 Договор подлежит досрочному расторжению по требованию Заказчика в случаях: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7.3.1. При невыполнении или ненадлежащем выполнении обязательств по Договору со стороны Исполнителя.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 В случае расторжения Договора в одностороннем порядке, Сторона, выступающая с инициативой расторжения Договора, обязана письменно уведомить противоположную сторону не менее чем за 2 (два) рабочих дня до планируемой даты расторжения, за исключением п. 7.2.1. при котором уведомление производится в день расторжения.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8. ФОРС-МАЖОР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8.1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участник не мог предвидеть, ни предотвратить разумными мерами (форс-мажор). К таким событиям чрезвычайного характера относятся стихийные бедствия, военные действия, акты органов государственной власти и управления.</w:t>
      </w: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>9. ПОРЯДОК РАССМОТРЕНИЯ СПОРОВ ПО ДОГОВОРУ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9.1. Все споры и разногласия, которые могут возникнуть из Договора или в связи с ним, будут по возможности решаться путем переговоров между Сторонами.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9.2. Соблюдение претензионного порядка является обязательным.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9.3. Претензия направляется в письменной форме по почте. Срок ответа на претензию –                 3 (три) календарных дней с момента ее вручения. Срок считается соблюденным, если ответ сдан в отделение связи до его истечения.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9.4. В случае если Сторона уклоняется от вручения ей претензии, она считается врученной по истечении 5 (пяти) дней с момента отправления.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9.5. В случае если стороны не придут к соглашению, то спор подлежит передаче на решение Арбитражного суда г. Санкт-Петербурга и Ленинградской области в порядке, установленном законодательством.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10. СРОК ДЕЙСТВИЯ ДОГОВОРА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10.1. Договор вступает в силу после подписания и действует до полного исполнения Сторонами своих обязательств.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11. ИНЫЕ УСЛОВИЯ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11.1. С момента подписания сторонами Договора, все предшествующие переговоры и переписка по нему теряют силу.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11.2.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11.3.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11.4.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11.5.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>
      <w:pPr>
        <w:tabs>
          <w:tab w:val="left" w:pos="36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11.6.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11.7. Договор составлен в 2-х экземплярах, каждый из которых имеет одинаковую юридическую силу.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11.8. Во всем остальном, не предусмотренном Договором, Стороны руководствуются действующим законодательством РФ.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11.9. Приложение № 1 - Спецификация.</w:t>
      </w:r>
    </w:p>
    <w:p>
      <w:pPr>
        <w:spacing w:before="29" w:after="29" w:line="240" w:lineRule="auto"/>
        <w:ind w:firstLine="567"/>
        <w:jc w:val="both"/>
        <w:rPr>
          <w:rFonts w:ascii="Times New Roman" w:hAnsi="Times New Roman"/>
          <w:color w:val="000000"/>
        </w:rPr>
      </w:pPr>
    </w:p>
    <w:p>
      <w:pPr>
        <w:spacing w:before="29" w:after="29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12. МЕСТО НАХОЖДЕНИЯ, РЕКВИЗИТЫ И ПОДПИСИ СТОРОН</w:t>
      </w:r>
    </w:p>
    <w:p>
      <w:pPr>
        <w:spacing w:before="29" w:after="29" w:line="240" w:lineRule="auto"/>
        <w:jc w:val="center"/>
        <w:rPr>
          <w:rFonts w:ascii="Times New Roman" w:hAnsi="Times New Roman"/>
          <w:b/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0"/>
        <w:gridCol w:w="4860"/>
      </w:tblGrid>
      <w:t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bookmarkStart w:id="0" w:name="sub_2800"/>
            <w:r>
              <w:rPr>
                <w:rFonts w:ascii="Times New Roman" w:hAnsi="Times New Roman"/>
                <w:b/>
                <w:color w:val="000000"/>
              </w:rPr>
              <w:t xml:space="preserve"> Исполнитель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____________________</w:t>
            </w:r>
            <w:r>
              <w:rPr>
                <w:rFonts w:ascii="Times New Roman" w:hAnsi="Times New Roman"/>
                <w:b/>
                <w:color w:val="000000"/>
              </w:rPr>
              <w:t xml:space="preserve"> /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(ПОДПИСАНО ЭП)                                                                 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spacing w:val="-3"/>
              </w:rPr>
            </w:pPr>
            <w:r>
              <w:rPr>
                <w:rFonts w:ascii="Times New Roman" w:hAnsi="Times New Roman"/>
                <w:b/>
                <w:spacing w:val="-3"/>
              </w:rPr>
              <w:t>Заказчик</w:t>
            </w:r>
          </w:p>
          <w:p>
            <w:pPr>
              <w:suppressAutoHyphens/>
              <w:spacing w:after="0"/>
              <w:rPr>
                <w:rFonts w:ascii="Times New Roman" w:hAnsi="Times New Roman"/>
                <w:b/>
                <w:lang w:eastAsia="zh-CN"/>
              </w:rPr>
            </w:pPr>
            <w:r>
              <w:rPr>
                <w:rFonts w:ascii="Times New Roman" w:hAnsi="Times New Roman"/>
                <w:b/>
                <w:lang w:eastAsia="zh-CN"/>
              </w:rPr>
              <w:t xml:space="preserve">Санкт-Петербургское государственное бюджетное учреждение культуры «Детский драматический «Театр у Нарвских ворот»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(СПБ ГБУК «Театр у Нарвских ворот»)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198095, Санкт-Петербург, ул. Зои Космодемьянской, д. 3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ОГРН 1037811007827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ИНН/КПП 7805026935/780501001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ОКТМО 40339000, ОКПО 31079710 ОКВЭД 92.31.2  Тел. (812) 786-51-48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val="en-US" w:eastAsia="zh-CN"/>
              </w:rPr>
            </w:pPr>
            <w:r>
              <w:rPr>
                <w:rFonts w:ascii="Times New Roman" w:hAnsi="Times New Roman"/>
                <w:lang w:val="en-US" w:eastAsia="zh-CN"/>
              </w:rPr>
              <w:t xml:space="preserve">E-mail: </w:t>
            </w:r>
            <w:hyperlink r:id="rId8" w:history="1">
              <w:r>
                <w:rPr>
                  <w:rFonts w:ascii="Times New Roman" w:hAnsi="Times New Roman"/>
                  <w:color w:val="0000FF"/>
                  <w:u w:val="single"/>
                  <w:lang w:val="en-US" w:eastAsia="zh-CN"/>
                </w:rPr>
                <w:t>teatr_Lutz@mail.ru</w:t>
              </w:r>
            </w:hyperlink>
            <w:r>
              <w:rPr>
                <w:rFonts w:ascii="Times New Roman" w:hAnsi="Times New Roman"/>
                <w:lang w:val="en-US" w:eastAsia="zh-CN"/>
              </w:rPr>
              <w:t xml:space="preserve">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Платежные реквизиты: Северо-Западное ГУ Банка России//УФК по г. Санкт-Петербургу, г. Санкт-Петербург; БИК 014030106, </w:t>
            </w:r>
          </w:p>
          <w:p>
            <w:pPr>
              <w:suppressAutoHyphens/>
              <w:spacing w:after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Корсчет: 40102810945370000005 </w:t>
            </w: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hAnsi="Times New Roman"/>
                <w:lang w:eastAsia="zh-CN"/>
              </w:rPr>
              <w:t>Комитет финансов Санкт-Петербурга (Санкт-Петербургское государственное бюджетное учреждение культуры «Детский драматический «Театр у Нарвских ворот», л/с 0171161) Номер счета: 03224643400000007200</w:t>
            </w: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lang w:eastAsia="ar-SA"/>
              </w:rPr>
              <w:t>Художественный руководитель СПБ ГБУК «Театр у Нарвских ворот»</w:t>
            </w: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lang w:eastAsia="ar-SA"/>
              </w:rPr>
              <w:t>_____________________ В.М. Лутц</w:t>
            </w: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lang w:eastAsia="ar-SA"/>
              </w:rPr>
              <w:t>(ПОДПИСАНО ЭП)</w:t>
            </w: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>
            <w:pPr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</w:tr>
      <w:bookmarkEnd w:id="0"/>
    </w:tbl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>
      <w:pPr>
        <w:autoSpaceDE w:val="0"/>
        <w:autoSpaceDN w:val="0"/>
        <w:adjustRightInd w:val="0"/>
        <w:ind w:left="709" w:right="36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 к Контракту № 4943659</w:t>
      </w:r>
    </w:p>
    <w:p>
      <w:pPr>
        <w:ind w:left="7230"/>
        <w:jc w:val="right"/>
        <w:rPr>
          <w:rFonts w:ascii="Times New Roman" w:hAnsi="Times New Roman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>
      <w:pPr>
        <w:pStyle w:val="ConsPlusNormal"/>
        <w:jc w:val="center"/>
        <w:rPr>
          <w:rFonts w:ascii="Times New Roman" w:hAnsi="Times New Roman" w:cs="Times New Roman"/>
          <w:b/>
        </w:rPr>
      </w:pPr>
      <w:bookmarkStart w:id="1" w:name="P389"/>
      <w:bookmarkEnd w:id="1"/>
      <w:r>
        <w:rPr>
          <w:rFonts w:ascii="Times New Roman" w:hAnsi="Times New Roman" w:cs="Times New Roman"/>
          <w:b/>
        </w:rPr>
        <w:t xml:space="preserve">СПЕЦИФИКАЦИЯ </w:t>
      </w:r>
    </w:p>
    <w:p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395"/>
        <w:gridCol w:w="1134"/>
        <w:gridCol w:w="737"/>
        <w:gridCol w:w="1531"/>
        <w:gridCol w:w="1842"/>
      </w:tblGrid>
      <w:tr>
        <w:tc>
          <w:tcPr>
            <w:tcW w:w="675" w:type="dxa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N п/п</w:t>
            </w:r>
          </w:p>
        </w:tc>
        <w:tc>
          <w:tcPr>
            <w:tcW w:w="4395" w:type="dxa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Наименование услуги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Единица изм.</w:t>
            </w:r>
          </w:p>
        </w:tc>
        <w:tc>
          <w:tcPr>
            <w:tcW w:w="737" w:type="dxa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Кол-во</w:t>
            </w:r>
          </w:p>
        </w:tc>
        <w:tc>
          <w:tcPr>
            <w:tcW w:w="1531" w:type="dxa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Цена за ед., руб. (НДС)</w:t>
            </w:r>
          </w:p>
        </w:tc>
        <w:tc>
          <w:tcPr>
            <w:tcW w:w="1842" w:type="dxa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Общая стоимость, руб. (НДС)</w:t>
            </w:r>
          </w:p>
        </w:tc>
      </w:tr>
      <w:tr>
        <w:trPr>
          <w:trHeight w:val="651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</w:t>
            </w:r>
          </w:p>
        </w:tc>
        <w:tc>
          <w:tcPr>
            <w:tcW w:w="4395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4</w:t>
            </w:r>
          </w:p>
        </w:tc>
        <w:tc>
          <w:tcPr>
            <w:tcW w:w="1531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5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6</w:t>
            </w:r>
          </w:p>
        </w:tc>
      </w:tr>
      <w:tr>
        <w:trPr>
          <w:trHeight w:val="651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395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участию в Межрегиональной конференции руководителей театров СПб и ЛО «Комаровские встречи-2024»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1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15 000,00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30 000,00</w:t>
            </w:r>
          </w:p>
        </w:tc>
      </w:tr>
      <w:tr>
        <w:trPr>
          <w:trHeight w:val="471"/>
        </w:trPr>
        <w:tc>
          <w:tcPr>
            <w:tcW w:w="675" w:type="dxa"/>
          </w:tcPr>
          <w:p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4395" w:type="dxa"/>
            <w:vAlign w:val="center"/>
          </w:tcPr>
          <w:p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737" w:type="dxa"/>
            <w:vAlign w:val="center"/>
          </w:tcPr>
          <w:p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531" w:type="dxa"/>
            <w:vAlign w:val="center"/>
          </w:tcPr>
          <w:p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30 000,00</w:t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</w:rPr>
      </w:pPr>
    </w:p>
    <w:p>
      <w:pPr>
        <w:pStyle w:val="ConsPlusNormal"/>
        <w:jc w:val="both"/>
        <w:rPr>
          <w:rFonts w:ascii="Times New Roman" w:hAnsi="Times New Roman" w:cs="Times New Roman"/>
        </w:rPr>
      </w:pPr>
    </w:p>
    <w:p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ИТОГО: 30 000,00 (тридцать тысяч рублей 00 копеек), в т.ч. НДС 20%, что составляет 5 000,00 руб.</w:t>
      </w:r>
    </w:p>
    <w:p>
      <w:pPr>
        <w:pStyle w:val="ConsPlusNormal"/>
        <w:jc w:val="both"/>
        <w:rPr>
          <w:rFonts w:ascii="Times New Roman" w:hAnsi="Times New Roman" w:cs="Times New Roman"/>
        </w:rPr>
      </w:pPr>
    </w:p>
    <w:p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20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5102"/>
      </w:tblGrid>
      <w:tr>
        <w:trPr>
          <w:cantSplit/>
          <w:trHeight w:val="20"/>
        </w:trPr>
        <w:tc>
          <w:tcPr>
            <w:tcW w:w="5102" w:type="dxa"/>
          </w:tcPr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lang w:val="x-none"/>
              </w:rPr>
            </w:pPr>
            <w:r>
              <w:rPr>
                <w:rFonts w:ascii="Times New Roman" w:hAnsi="Times New Roman"/>
                <w:lang w:val="x-none"/>
              </w:rPr>
              <w:t>Художественный руководитель</w:t>
            </w:r>
            <w:r>
              <w:rPr>
                <w:rFonts w:ascii="Times New Roman" w:hAnsi="Times New Roman"/>
              </w:rPr>
              <w:t xml:space="preserve"> СПБ ГБУК «Театр у Нарвских ворот»</w:t>
            </w:r>
          </w:p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lang w:val="x-none"/>
              </w:rPr>
            </w:pPr>
          </w:p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x-none"/>
              </w:rPr>
              <w:t>___________</w:t>
            </w:r>
            <w:r>
              <w:rPr>
                <w:rFonts w:ascii="Times New Roman" w:hAnsi="Times New Roman"/>
              </w:rPr>
              <w:t>___________</w:t>
            </w:r>
            <w:r>
              <w:rPr>
                <w:rFonts w:ascii="Times New Roman" w:hAnsi="Times New Roman"/>
                <w:lang w:val="x-none"/>
              </w:rPr>
              <w:t>____ В.</w:t>
            </w:r>
            <w:r>
              <w:rPr>
                <w:rFonts w:ascii="Times New Roman" w:hAnsi="Times New Roman"/>
              </w:rPr>
              <w:t>М. Лутц</w:t>
            </w:r>
          </w:p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lang w:val="x-none"/>
              </w:rPr>
            </w:pPr>
            <w:r>
              <w:rPr>
                <w:rFonts w:ascii="Times New Roman" w:hAnsi="Times New Roman"/>
                <w:lang w:val="x-none"/>
              </w:rPr>
              <w:t>(ПОДПИСАНО ЭП)</w:t>
            </w:r>
          </w:p>
        </w:tc>
        <w:tc>
          <w:tcPr>
            <w:tcW w:w="5102" w:type="dxa"/>
          </w:tcPr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ИСПОЛНИТЕЛЬ</w:t>
            </w:r>
          </w:p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</w:rPr>
            </w:pPr>
          </w:p>
          <w:p>
            <w:pPr>
              <w:autoSpaceDE w:val="0"/>
              <w:autoSpaceDN w:val="0"/>
              <w:jc w:val="both"/>
              <w:outlineLvl w:val="1"/>
              <w:rPr>
                <w:rFonts w:ascii="Times New Roman" w:hAnsi="Times New Roman"/>
              </w:rPr>
            </w:pPr>
          </w:p>
          <w:p>
            <w:pPr>
              <w:autoSpaceDE w:val="0"/>
              <w:autoSpaceDN w:val="0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</w:t>
            </w:r>
            <w:bookmarkStart w:id="2" w:name="_GoBack"/>
            <w:bookmarkEnd w:id="2"/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sectPr>
      <w:footerReference w:type="even" r:id="rId9"/>
      <w:footerReference w:type="default" r:id="rId10"/>
      <w:pgSz w:w="11906" w:h="16838"/>
      <w:pgMar w:top="1135" w:right="566" w:bottom="184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</w:p>
  <w:p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EB613FF"/>
    <w:multiLevelType w:val="multilevel"/>
    <w:tmpl w:val="9D0687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0374DEC"/>
    <w:multiLevelType w:val="multilevel"/>
    <w:tmpl w:val="AC469D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70C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8C37E-3C05-4880-B3D2-431B49BC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3">
    <w:name w:val="Нормальный (таблица)"/>
    <w:basedOn w:val="a"/>
    <w:next w:val="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2">
    <w:name w:val="Без интервала2"/>
    <w:rPr>
      <w:sz w:val="22"/>
      <w:szCs w:val="22"/>
    </w:rPr>
  </w:style>
  <w:style w:type="paragraph" w:styleId="a4">
    <w:name w:val="No Spacing"/>
    <w:uiPriority w:val="1"/>
    <w:qFormat/>
    <w:rPr>
      <w:sz w:val="22"/>
      <w:szCs w:val="22"/>
    </w:rPr>
  </w:style>
  <w:style w:type="character" w:styleId="a5">
    <w:name w:val="Hyperlink"/>
    <w:uiPriority w:val="99"/>
    <w:unhideWhenUsed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character" w:styleId="aa">
    <w:name w:val="page number"/>
    <w:basedOn w:val="a0"/>
  </w:style>
  <w:style w:type="character" w:styleId="ab">
    <w:name w:val="annotation reference"/>
    <w:uiPriority w:val="99"/>
    <w:semiHidden/>
    <w:unhideWhenUsed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91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4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99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3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atr_Lut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1472-4644-4B7D-A2C5-321896355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1827</Words>
  <Characters>10418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12221</CharactersWithSpaces>
  <SharedDoc>false</SharedDoc>
  <HLinks>
    <vt:vector size="6" baseType="variant">
      <vt:variant>
        <vt:i4>4784233</vt:i4>
      </vt:variant>
      <vt:variant>
        <vt:i4>0</vt:i4>
      </vt:variant>
      <vt:variant>
        <vt:i4>0</vt:i4>
      </vt:variant>
      <vt:variant>
        <vt:i4>5</vt:i4>
      </vt:variant>
      <vt:variant>
        <vt:lpwstr>mailto:capella@capellaspb.ru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Ganeeva</dc:creator>
  <cp:keywords/>
  <cp:lastModifiedBy>Пользователь Windows</cp:lastModifiedBy>
  <cp:revision>26</cp:revision>
  <cp:lastPrinted>2020-12-17T09:45:00Z</cp:lastPrinted>
  <dcterms:created xsi:type="dcterms:W3CDTF">2024-04-15T07:52:00Z</dcterms:created>
  <dcterms:modified xsi:type="dcterms:W3CDTF">2024-05-28T14:24:00Z</dcterms:modified>
</cp:coreProperties>
</file>