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23"/>
        <w:pBdr/>
        <w:shd w:val="clear" w:color="auto" w:fill="auto"/>
        <w:tabs>
          <w:tab w:val="clear" w:pos="708"/>
          <w:tab w:val="right" w:pos="10316" w:leader="none"/>
          <w:tab w:val="right" w:pos="10465" w:leader="none"/>
        </w:tabs>
        <w:ind w:left="20" w:right="100" w:firstLine="3760"/>
        <w:rPr/>
        <w:framePr w:w="10560" w:h="12485" w:x="675" w:y="2075" w:wrap="auto" w:vAnchor="page" w:hAnchor="page" w:hRule="exact"/>
      </w:pPr>
      <w:bookmarkStart w:id="0" w:name="__DdeLink__437_5085290201"/>
      <w:r>
        <w:rPr/>
        <w:t>Лицензионный договор</w:t>
      </w:r>
      <w:bookmarkEnd w:id="0"/>
      <w:r>
        <w:rPr/>
        <w:t xml:space="preserve"> №124040938312</w:t>
        <w:br/>
        <w:t>г. _______</w:t>
        <w:tab/>
        <w:t>___.___.2024</w:t>
        <w:tab/>
        <w:t>г.</w:t>
      </w:r>
    </w:p>
    <w:p>
      <w:pPr>
        <w:pStyle w:val="3"/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_________, именуемое в дальнейшем </w:t>
      </w:r>
      <w:r>
        <w:rPr>
          <w:rStyle w:val="Style16"/>
        </w:rPr>
        <w:t>Лицензиар</w:t>
      </w:r>
      <w:r>
        <w:rPr/>
        <w:t xml:space="preserve">, с одной стороны, и Пользователь программного комплекса </w:t>
      </w:r>
      <w:r>
        <w:rPr>
          <w:lang w:eastAsia="en-US" w:bidi="en-US"/>
        </w:rPr>
        <w:t>«</w:t>
      </w:r>
      <w:r>
        <w:rPr>
          <w:lang w:val="en-US" w:eastAsia="en-US" w:bidi="en-US"/>
        </w:rPr>
        <w:t>Web</w:t>
      </w:r>
      <w:r>
        <w:rPr/>
        <w:t>-система СБИС» (далее -</w:t>
        <w:br/>
        <w:t>Программа) САНКТ-ПЕТЕРБУРГСКОЕ ГОСУДАРСТВЕННОЕ БЮДЖЕТНОЕ УЧРЕЖДЕНИЕ ЗДРАВООХРАНЕНИЯ "ГОРОДСКАЯ МНОГОПРОФИЛЬНАЯ БОЛЬНИЦА № 2",</w:t>
        <w:br/>
        <w:t xml:space="preserve">именуемый в дальнейшем </w:t>
      </w:r>
      <w:r>
        <w:rPr>
          <w:rStyle w:val="Style16"/>
        </w:rPr>
        <w:t>Лицензиат</w:t>
      </w:r>
      <w:r>
        <w:rPr/>
        <w:t>, с другой стороны заключили настоящий договор о нижеследующем.</w:t>
      </w:r>
    </w:p>
    <w:p>
      <w:pPr>
        <w:pStyle w:val="23"/>
        <w:pBdr/>
        <w:shd w:val="clear" w:color="auto" w:fill="auto"/>
        <w:spacing w:lineRule="exact" w:line="168"/>
        <w:ind w:left="20" w:firstLine="4500"/>
        <w:rPr/>
        <w:framePr w:w="10560" w:h="12485" w:x="675" w:y="2075" w:wrap="auto" w:vAnchor="page" w:hAnchor="page" w:hRule="exact"/>
      </w:pPr>
      <w:r>
        <w:rPr/>
        <w:t>1. Предмет договора</w:t>
      </w:r>
    </w:p>
    <w:p>
      <w:pPr>
        <w:pStyle w:val="3"/>
        <w:numPr>
          <w:ilvl w:val="0"/>
          <w:numId w:val="1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 xml:space="preserve">По настоящему договору </w:t>
      </w:r>
      <w:r>
        <w:rPr>
          <w:rStyle w:val="Style16"/>
        </w:rPr>
        <w:t xml:space="preserve">Лицензиар </w:t>
      </w:r>
      <w:r>
        <w:rPr/>
        <w:t xml:space="preserve">обязуется передать, а </w:t>
      </w:r>
      <w:r>
        <w:rPr>
          <w:rStyle w:val="Style16"/>
        </w:rPr>
        <w:t xml:space="preserve">Лицензиат </w:t>
      </w:r>
      <w:r>
        <w:rPr/>
        <w:t>обязуется принять и оплатить простую (неисключительную) лицензию</w:t>
        <w:br/>
        <w:t>использования Программы в следующей конфигурации:</w:t>
      </w:r>
    </w:p>
    <w:p>
      <w:pPr>
        <w:pStyle w:val="3"/>
        <w:numPr>
          <w:ilvl w:val="0"/>
          <w:numId w:val="2"/>
        </w:numPr>
        <w:pBdr/>
        <w:shd w:val="clear" w:color="auto" w:fill="auto"/>
        <w:tabs>
          <w:tab w:val="clear" w:pos="708"/>
          <w:tab w:val="right" w:pos="5031" w:leader="none"/>
        </w:tabs>
        <w:spacing w:lineRule="exact" w:line="120" w:before="0" w:after="68"/>
        <w:ind w:left="260" w:hanging="0"/>
        <w:rPr/>
        <w:framePr w:w="10560" w:h="12485" w:x="675" w:y="2075" w:wrap="auto" w:vAnchor="page" w:hAnchor="page" w:hRule="exact"/>
      </w:pPr>
      <w:r>
        <w:rPr/>
        <w:t xml:space="preserve">Права использования </w:t>
      </w:r>
      <w:r>
        <w:rPr>
          <w:lang w:eastAsia="en-US" w:bidi="en-US"/>
        </w:rPr>
        <w:t>"</w:t>
      </w:r>
      <w:r>
        <w:rPr>
          <w:lang w:val="en-US" w:eastAsia="en-US" w:bidi="en-US"/>
        </w:rPr>
        <w:t>Web</w:t>
      </w:r>
      <w:r>
        <w:rPr/>
        <w:t>-система СБИС" модуль отчетность в МВД</w:t>
      </w:r>
    </w:p>
    <w:p>
      <w:pPr>
        <w:pStyle w:val="3"/>
        <w:numPr>
          <w:ilvl w:val="0"/>
          <w:numId w:val="2"/>
        </w:numPr>
        <w:pBdr/>
        <w:shd w:val="clear" w:color="auto" w:fill="auto"/>
        <w:tabs>
          <w:tab w:val="clear" w:pos="708"/>
          <w:tab w:val="right" w:pos="5722" w:leader="none"/>
          <w:tab w:val="right" w:pos="6082" w:leader="none"/>
        </w:tabs>
        <w:ind w:left="260" w:hanging="0"/>
        <w:rPr/>
        <w:framePr w:w="10560" w:h="12485" w:x="675" w:y="2075" w:wrap="auto" w:vAnchor="page" w:hAnchor="page" w:hRule="exact"/>
      </w:pPr>
      <w:r>
        <w:rPr/>
        <w:t xml:space="preserve">Права использования </w:t>
      </w:r>
      <w:r>
        <w:rPr>
          <w:lang w:eastAsia="en-US" w:bidi="en-US"/>
        </w:rPr>
        <w:t>"</w:t>
      </w:r>
      <w:r>
        <w:rPr>
          <w:lang w:val="en-US" w:eastAsia="en-US" w:bidi="en-US"/>
        </w:rPr>
        <w:t>Web</w:t>
      </w:r>
      <w:r>
        <w:rPr/>
        <w:t>-система СБИС" модуль Мастер запуска "Отчетность</w:t>
        <w:tab/>
        <w:t>МВД"</w:t>
      </w:r>
    </w:p>
    <w:p>
      <w:pPr>
        <w:pStyle w:val="3"/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Функциональные возможности прав описаны на официальном сайте </w:t>
      </w:r>
      <w:r>
        <w:rPr>
          <w:rStyle w:val="Style16"/>
        </w:rPr>
        <w:t xml:space="preserve">Лицензиара </w:t>
      </w:r>
      <w:r>
        <w:rPr/>
        <w:t>Программы</w:t>
      </w:r>
      <w:hyperlink r:id="rId2">
        <w:r>
          <w:rPr>
            <w:rStyle w:val="Style14"/>
          </w:rPr>
          <w:t xml:space="preserve"> https://sbis.ru/tariffs</w:t>
        </w:r>
        <w:r>
          <w:rPr>
            <w:rStyle w:val="Style14"/>
            <w:lang w:eastAsia="en-US" w:bidi="en-US"/>
          </w:rPr>
          <w:t>.</w:t>
        </w:r>
      </w:hyperlink>
    </w:p>
    <w:p>
      <w:pPr>
        <w:pStyle w:val="3"/>
        <w:numPr>
          <w:ilvl w:val="0"/>
          <w:numId w:val="1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 xml:space="preserve">Для использования прав, полученных по настоящему договору, </w:t>
      </w:r>
      <w:r>
        <w:rPr>
          <w:rStyle w:val="Style16"/>
        </w:rPr>
        <w:t xml:space="preserve">Лицензиату </w:t>
      </w:r>
      <w:r>
        <w:rPr/>
        <w:t>выделяется аккаунт (личный кабинет) № 4357276.</w:t>
      </w:r>
    </w:p>
    <w:p>
      <w:pPr>
        <w:pStyle w:val="3"/>
        <w:numPr>
          <w:ilvl w:val="0"/>
          <w:numId w:val="1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>
          <w:rStyle w:val="Style16"/>
        </w:rPr>
        <w:t xml:space="preserve">Лицензиат </w:t>
      </w:r>
      <w:r>
        <w:rPr/>
        <w:t>в соответствии со ст. 428 ГК РФ присоединяется к Регламенту, опубликованному по адрес</w:t>
      </w:r>
      <w:hyperlink r:id="rId3">
        <w:r>
          <w:rPr>
            <w:rStyle w:val="Style14"/>
          </w:rPr>
          <w:t xml:space="preserve">у https://sbis.ru/reglament </w:t>
        </w:r>
      </w:hyperlink>
      <w:r>
        <w:rPr/>
        <w:t>(далее - Регламент).</w:t>
      </w:r>
    </w:p>
    <w:p>
      <w:pPr>
        <w:pStyle w:val="3"/>
        <w:numPr>
          <w:ilvl w:val="0"/>
          <w:numId w:val="1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Исключительные имущественные права на Программу принадлежат ООО "Компания "Тензор" (свидетельство об официальной регистрации программы для</w:t>
        <w:br/>
        <w:t xml:space="preserve">ЭВМ №2015610086 от 12.01.2015). На основании Приказа Минкомсвязи России от 08.04.2016 </w:t>
      </w:r>
      <w:r>
        <w:rPr>
          <w:lang w:val="en-US" w:eastAsia="en-US" w:bidi="en-US"/>
        </w:rPr>
        <w:t>No</w:t>
      </w:r>
      <w:r>
        <w:rPr>
          <w:lang w:eastAsia="en-US" w:bidi="en-US"/>
        </w:rPr>
        <w:t xml:space="preserve">151 </w:t>
      </w:r>
      <w:r>
        <w:rPr/>
        <w:t>Программа зарегистрирована в едином реестре российских</w:t>
        <w:br/>
        <w:t>программ для электронных вычислительных машин и баз данных в информационно-телекоммуникационной сети "Интернет" за номером 332.</w:t>
      </w:r>
    </w:p>
    <w:p>
      <w:pPr>
        <w:pStyle w:val="23"/>
        <w:pBdr/>
        <w:shd w:val="clear" w:color="auto" w:fill="auto"/>
        <w:spacing w:lineRule="exact" w:line="168"/>
        <w:ind w:left="20" w:hanging="0"/>
        <w:jc w:val="center"/>
        <w:rPr/>
        <w:framePr w:w="10560" w:h="12485" w:x="675" w:y="2075" w:wrap="auto" w:vAnchor="page" w:hAnchor="page" w:hRule="exact"/>
      </w:pPr>
      <w:r>
        <w:rPr/>
        <w:t>2. Права и обязанности сторон</w:t>
      </w:r>
    </w:p>
    <w:p>
      <w:pPr>
        <w:pStyle w:val="3"/>
        <w:numPr>
          <w:ilvl w:val="0"/>
          <w:numId w:val="3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>
          <w:rStyle w:val="Style16"/>
        </w:rPr>
        <w:t xml:space="preserve">Лицензиар </w:t>
      </w:r>
      <w:r>
        <w:rPr/>
        <w:t>в течение срока действия настоящего договора обеспечивает работу Программы в соответствии с документацией, опубликованной</w:t>
        <w:br/>
        <w:t>на</w:t>
      </w:r>
      <w:hyperlink r:id="rId4">
        <w:r>
          <w:rPr>
            <w:rStyle w:val="Style14"/>
          </w:rPr>
          <w:t xml:space="preserve"> https://sbis.ru/tariffs</w:t>
        </w:r>
        <w:r>
          <w:rPr>
            <w:rStyle w:val="Style14"/>
            <w:lang w:eastAsia="en-US" w:bidi="en-US"/>
          </w:rPr>
          <w:t xml:space="preserve">, </w:t>
        </w:r>
      </w:hyperlink>
      <w:r>
        <w:rPr/>
        <w:t xml:space="preserve">и в рамках прав, указанных в п.1.1 настоящего договора, а также при условии выполнения </w:t>
      </w:r>
      <w:r>
        <w:rPr>
          <w:rStyle w:val="Style16"/>
        </w:rPr>
        <w:t xml:space="preserve">Лицензиатом </w:t>
      </w:r>
      <w:r>
        <w:rPr/>
        <w:t>его обязанностей по</w:t>
        <w:br/>
        <w:t>настоящему договору.</w:t>
      </w:r>
    </w:p>
    <w:p>
      <w:pPr>
        <w:pStyle w:val="3"/>
        <w:numPr>
          <w:ilvl w:val="0"/>
          <w:numId w:val="3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 xml:space="preserve">За невыполнение или ненадлежащее выполнение обязательств, в период действия неисключительных прав на Программу, </w:t>
      </w:r>
      <w:r>
        <w:rPr>
          <w:rStyle w:val="Style16"/>
        </w:rPr>
        <w:t xml:space="preserve">Лицензиар </w:t>
      </w:r>
      <w:r>
        <w:rPr/>
        <w:t>несет</w:t>
        <w:br/>
        <w:t xml:space="preserve">ответственность в пределах стоимости той конфигурации Программы, в рамках которой возникло требование </w:t>
      </w:r>
      <w:r>
        <w:rPr>
          <w:rStyle w:val="Style16"/>
        </w:rPr>
        <w:t>Лицензиата</w:t>
      </w:r>
      <w:r>
        <w:rPr/>
        <w:t>.</w:t>
      </w:r>
    </w:p>
    <w:p>
      <w:pPr>
        <w:pStyle w:val="3"/>
        <w:numPr>
          <w:ilvl w:val="0"/>
          <w:numId w:val="3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>
          <w:rStyle w:val="Style16"/>
        </w:rPr>
        <w:t xml:space="preserve">Лицензиат </w:t>
      </w:r>
      <w:r>
        <w:rPr/>
        <w:t>имеет право:</w:t>
      </w:r>
    </w:p>
    <w:p>
      <w:pPr>
        <w:pStyle w:val="3"/>
        <w:numPr>
          <w:ilvl w:val="0"/>
          <w:numId w:val="4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Круглосуточно использовать Программу, за исключением времени профилактических работ, проводимых в соответствии с Регламентом.</w:t>
      </w:r>
    </w:p>
    <w:p>
      <w:pPr>
        <w:pStyle w:val="3"/>
        <w:numPr>
          <w:ilvl w:val="0"/>
          <w:numId w:val="4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Регистрировать в своем личном кабинете (далее - аккаунте) третьих лиц, принимая на себя ответственность за их действия.</w:t>
      </w:r>
    </w:p>
    <w:p>
      <w:pPr>
        <w:pStyle w:val="3"/>
        <w:numPr>
          <w:ilvl w:val="1"/>
          <w:numId w:val="4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>
          <w:rStyle w:val="Style16"/>
        </w:rPr>
        <w:t xml:space="preserve">Лицензиат </w:t>
      </w:r>
      <w:r>
        <w:rPr/>
        <w:t>обязан:</w:t>
      </w:r>
    </w:p>
    <w:p>
      <w:pPr>
        <w:pStyle w:val="3"/>
        <w:numPr>
          <w:ilvl w:val="2"/>
          <w:numId w:val="4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Оплачивать лицензионные вознаграждения в порядке и в сроки, установленные настоящим договором.</w:t>
      </w:r>
    </w:p>
    <w:p>
      <w:pPr>
        <w:pStyle w:val="3"/>
        <w:numPr>
          <w:ilvl w:val="2"/>
          <w:numId w:val="4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Оплатить дополнительно использованный функционал Программы (за пределами приобретенной конфигурации) по стоимости, определяемой на дату</w:t>
        <w:br/>
        <w:t>начисления в соответствии с тарифами, опубликованными на</w:t>
      </w:r>
      <w:hyperlink r:id="rId5">
        <w:r>
          <w:rPr>
            <w:rStyle w:val="Style14"/>
          </w:rPr>
          <w:t xml:space="preserve"> https://sbis.ru/tariffs</w:t>
        </w:r>
        <w:r>
          <w:rPr>
            <w:rStyle w:val="Style14"/>
            <w:lang w:eastAsia="en-US" w:bidi="en-US"/>
          </w:rPr>
          <w:t>,</w:t>
        </w:r>
      </w:hyperlink>
      <w:r>
        <w:rPr>
          <w:lang w:eastAsia="en-US" w:bidi="en-US"/>
        </w:rPr>
        <w:t xml:space="preserve"> </w:t>
      </w:r>
      <w:r>
        <w:rPr/>
        <w:t>в течение 30 (тридцати) календарных дней с даты начала такого</w:t>
        <w:br/>
        <w:t>использования.</w:t>
      </w:r>
    </w:p>
    <w:p>
      <w:pPr>
        <w:pStyle w:val="3"/>
        <w:numPr>
          <w:ilvl w:val="2"/>
          <w:numId w:val="4"/>
        </w:numPr>
        <w:pBdr/>
        <w:shd w:val="clear" w:color="auto" w:fill="auto"/>
        <w:spacing w:before="0" w:after="120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Использовать Программу в соответствии с Регламентом и пользовательской документацией, опубликованной на</w:t>
      </w:r>
      <w:hyperlink r:id="rId6">
        <w:r>
          <w:rPr>
            <w:rStyle w:val="Style14"/>
          </w:rPr>
          <w:t xml:space="preserve"> https://help.sbis.ru</w:t>
        </w:r>
        <w:r>
          <w:rPr>
            <w:rStyle w:val="Style14"/>
            <w:lang w:eastAsia="en-US" w:bidi="en-US"/>
          </w:rPr>
          <w:t>.</w:t>
        </w:r>
      </w:hyperlink>
    </w:p>
    <w:p>
      <w:pPr>
        <w:pStyle w:val="23"/>
        <w:pBdr/>
        <w:shd w:val="clear" w:color="auto" w:fill="auto"/>
        <w:spacing w:lineRule="exact" w:line="168"/>
        <w:ind w:left="20" w:hanging="0"/>
        <w:jc w:val="center"/>
        <w:rPr/>
        <w:framePr w:w="10560" w:h="12485" w:x="675" w:y="2075" w:wrap="auto" w:vAnchor="page" w:hAnchor="page" w:hRule="exact"/>
      </w:pPr>
      <w:r>
        <w:rPr/>
        <w:t>3. Стоимость и порядок расчетов</w:t>
      </w:r>
    </w:p>
    <w:p>
      <w:pPr>
        <w:pStyle w:val="3"/>
        <w:numPr>
          <w:ilvl w:val="0"/>
          <w:numId w:val="5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Стоимость неисключительных прав, передаваемых</w:t>
      </w:r>
      <w:r>
        <w:rPr/>
        <w:t xml:space="preserve"> по настоящему договору, составляет ________ </w:t>
      </w:r>
      <w:r>
        <w:rPr>
          <w:rStyle w:val="Style16"/>
        </w:rPr>
        <w:t xml:space="preserve">Лицензиат </w:t>
      </w:r>
      <w:r>
        <w:rPr/>
        <w:t>в течение 5 (пяти) рабочих дней производит авансовый платеж в размере 100% (ста процентов) от стоимости настоящего Договора,</w:t>
        <w:br/>
        <w:t xml:space="preserve">если на </w:t>
      </w:r>
      <w:r>
        <w:rPr>
          <w:rStyle w:val="Style16"/>
        </w:rPr>
        <w:t xml:space="preserve">Лицензиата </w:t>
      </w:r>
      <w:r>
        <w:rPr/>
        <w:t xml:space="preserve">распространяется действие Постановления Правительства Российской Федерации от 09 декабря 2017 г.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 </w:t>
      </w:r>
      <w:r>
        <w:rPr/>
        <w:t>1496 "О мерах по обеспечению</w:t>
        <w:br/>
        <w:t xml:space="preserve">исполнения федерального бюджета", то </w:t>
      </w:r>
      <w:r>
        <w:rPr>
          <w:rStyle w:val="Style16"/>
        </w:rPr>
        <w:t xml:space="preserve">Лицензиат </w:t>
      </w:r>
      <w:r>
        <w:rPr/>
        <w:t>в течение 5 (пяти) рабочих дней производит авансовый платеж в размере 30% (тридцати процентов) от</w:t>
        <w:br/>
        <w:t xml:space="preserve">стоимости настоящего Договора. Окончательный расчет по настоящему Договору производится </w:t>
      </w:r>
      <w:r>
        <w:rPr>
          <w:rStyle w:val="Style16"/>
        </w:rPr>
        <w:t xml:space="preserve">Лицензиатом </w:t>
      </w:r>
      <w:r>
        <w:rPr/>
        <w:t>в течение 7 (семи) рабочих дней с момента</w:t>
        <w:br/>
        <w:t>подписания Сторонами Акта приема-передачи неисключительных прав или УПД.</w:t>
      </w:r>
    </w:p>
    <w:p>
      <w:pPr>
        <w:pStyle w:val="3"/>
        <w:numPr>
          <w:ilvl w:val="0"/>
          <w:numId w:val="5"/>
        </w:numPr>
        <w:pBdr/>
        <w:shd w:val="clear" w:color="auto" w:fill="auto"/>
        <w:ind w:lef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>Стороны договорились, что к их отношениям по настоящему договору нормы ст.317.1. ГК РФ не применяются.</w:t>
      </w:r>
    </w:p>
    <w:p>
      <w:pPr>
        <w:pStyle w:val="23"/>
        <w:pBdr/>
        <w:shd w:val="clear" w:color="auto" w:fill="auto"/>
        <w:spacing w:lineRule="exact" w:line="168"/>
        <w:ind w:left="20" w:firstLine="4500"/>
        <w:rPr/>
        <w:framePr w:w="10560" w:h="12485" w:x="675" w:y="2075" w:wrap="auto" w:vAnchor="page" w:hAnchor="page" w:hRule="exact"/>
      </w:pPr>
      <w:r>
        <w:rPr/>
        <w:t>4. Действие договора</w:t>
      </w:r>
    </w:p>
    <w:p>
      <w:pPr>
        <w:pStyle w:val="3"/>
        <w:numPr>
          <w:ilvl w:val="0"/>
          <w:numId w:val="6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 xml:space="preserve">Настоящий договор вступает в силу с момента подписания и действует до 31.12.2024, а в части обязательств до полного исполнения его Сторонами. Срок действия неисключительных прав с 16.04.2024 по 15.04.2025. Договор может быть пролонгирован на 12 </w:t>
      </w:r>
      <w:r>
        <w:rPr/>
        <w:t>календарных месяцев, по стоимости, определяемой на дату начисления в соответствии с тарифами, опубликованными на</w:t>
      </w:r>
      <w:hyperlink r:id="rId7">
        <w:r>
          <w:rPr>
            <w:rStyle w:val="Style14"/>
          </w:rPr>
          <w:t xml:space="preserve"> https://sbis.ru/tariffs</w:t>
        </w:r>
        <w:r>
          <w:rPr>
            <w:rStyle w:val="Style14"/>
            <w:lang w:eastAsia="en-US" w:bidi="en-US"/>
          </w:rPr>
          <w:t xml:space="preserve">. </w:t>
        </w:r>
      </w:hyperlink>
      <w:r>
        <w:rPr/>
        <w:t>Количество пролонгаций не ограничено. Передача неисключительных прав по настоящему Договору</w:t>
        <w:br/>
        <w:t>оформляется Актом приема-передачи или УПД в течение 3-х рабочих дней с момента оплаты, в размере и способом указанным в п.3.1 настоящего договора.</w:t>
      </w:r>
    </w:p>
    <w:p>
      <w:pPr>
        <w:pStyle w:val="23"/>
        <w:pBdr/>
        <w:shd w:val="clear" w:color="auto" w:fill="auto"/>
        <w:spacing w:lineRule="exact" w:line="168"/>
        <w:ind w:left="20" w:hanging="0"/>
        <w:jc w:val="center"/>
        <w:rPr/>
        <w:framePr w:w="10560" w:h="12485" w:x="675" w:y="2075" w:wrap="auto" w:vAnchor="page" w:hAnchor="page" w:hRule="exact"/>
      </w:pPr>
      <w:r>
        <w:rPr/>
        <w:t>5. Ответственность сторон</w:t>
      </w:r>
    </w:p>
    <w:p>
      <w:pPr>
        <w:pStyle w:val="3"/>
        <w:numPr>
          <w:ilvl w:val="0"/>
          <w:numId w:val="7"/>
        </w:numPr>
        <w:pBdr/>
        <w:shd w:val="clear" w:color="auto" w:fill="auto"/>
        <w:ind w:left="20" w:right="20" w:hanging="0"/>
        <w:rPr/>
        <w:framePr w:w="10560" w:h="12485" w:x="675" w:y="2075" w:wrap="auto" w:vAnchor="page" w:hAnchor="page" w:hRule="exact"/>
      </w:pPr>
      <w:r>
        <w:rPr/>
        <w:t xml:space="preserve"> </w:t>
      </w:r>
      <w:r>
        <w:rPr/>
        <w:t xml:space="preserve">В случае нарушения </w:t>
      </w:r>
      <w:r>
        <w:rPr>
          <w:rStyle w:val="Style16"/>
        </w:rPr>
        <w:t xml:space="preserve">Лицензиатом </w:t>
      </w:r>
      <w:r>
        <w:rPr/>
        <w:t xml:space="preserve">п.3, п.2.4 настоящего договора </w:t>
      </w:r>
      <w:r>
        <w:rPr>
          <w:rStyle w:val="Style16"/>
        </w:rPr>
        <w:t xml:space="preserve">Лицензиар </w:t>
      </w:r>
      <w:r>
        <w:rPr/>
        <w:t>вправе досрочно расторгнуть настоящий Договор и заблокировать</w:t>
        <w:br/>
        <w:t xml:space="preserve">использование Программы </w:t>
      </w:r>
      <w:r>
        <w:rPr>
          <w:rStyle w:val="Style16"/>
        </w:rPr>
        <w:t xml:space="preserve">Лицензиатом </w:t>
      </w:r>
      <w:r>
        <w:rPr/>
        <w:t>без предварительного уведомления.</w:t>
      </w:r>
    </w:p>
    <w:p>
      <w:pPr>
        <w:pStyle w:val="23"/>
        <w:pBdr/>
        <w:shd w:val="clear" w:color="auto" w:fill="auto"/>
        <w:spacing w:lineRule="exact" w:line="168"/>
        <w:ind w:left="20" w:right="4540" w:firstLine="4500"/>
        <w:rPr/>
        <w:framePr w:w="10560" w:h="12485" w:x="675" w:y="2075" w:wrap="auto" w:vAnchor="page" w:hAnchor="page" w:hRule="exact"/>
      </w:pPr>
      <w:r>
        <w:rPr/>
        <w:t>6. Реквизиты сторон</w:t>
      </w:r>
    </w:p>
    <w:p>
      <w:pPr>
        <w:pStyle w:val="23"/>
        <w:pBdr/>
        <w:shd w:val="clear" w:color="auto" w:fill="auto"/>
        <w:spacing w:lineRule="exact" w:line="168"/>
        <w:ind w:left="20" w:right="4540" w:hanging="0"/>
        <w:rPr>
          <w:rStyle w:val="22"/>
        </w:rPr>
        <w:framePr w:w="10560" w:h="12485" w:x="675" w:y="2075" w:wrap="auto" w:vAnchor="page" w:hAnchor="page" w:hRule="exact"/>
      </w:pPr>
      <w:r>
        <w:rPr/>
      </w:r>
    </w:p>
    <w:tbl>
      <w:tblPr>
        <w:tblW w:w="10560" w:type="dxa"/>
        <w:jc w:val="left"/>
        <w:tblInd w:w="0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5352"/>
        <w:gridCol w:w="5202"/>
        <w:gridCol w:w="6"/>
      </w:tblGrid>
      <w:tr>
        <w:trPr>
          <w:trHeight w:val="2490" w:hRule="atLeast"/>
        </w:trPr>
        <w:tc>
          <w:tcPr>
            <w:tcW w:w="5352" w:type="dxa"/>
            <w:tcBorders/>
            <w:shd w:fill="auto" w:val="clear"/>
          </w:tcPr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/>
                <w:b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Style w:val="Style16"/>
                <w:rFonts w:eastAsia="Tahoma" w:cs="Tahoma" w:ascii="Tahoma" w:hAnsi="Tahoma"/>
                <w:b w:val="false"/>
                <w:bCs w:val="false"/>
                <w:spacing w:val="3"/>
                <w:kern w:val="0"/>
                <w:sz w:val="12"/>
                <w:szCs w:val="12"/>
              </w:rPr>
              <w:t>Лицензиат</w:t>
            </w: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: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 xml:space="preserve">Санкт-Петербургское государственное бюджетное учреждение здравоохранения «Городская многопрофильная больница № 2» 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(СПб ГБУЗ «ГМПБ № 2»)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194354, Санкт-Петербург, Учебный пер.5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Тел./факс: ( 812)  338-48-20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Е-mail: b2@zdrav.spb.ru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ИНН  7802078420   КПП   780201001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Комитет финансов Санкт-Петербурга (СПб ГБУЗ «ГМПБ №2», лиц/счет  0151126)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Кор/с 40102810945370000005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Р/с 03224643400000007200  в Северо-Западном ГУ Банка  России//УФК по Санкт-Петербургу г. Санкт-Петербург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БИК 014030106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ОКТМО 40316000 ОКПО 39473967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ОГРН 1037804000630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 xml:space="preserve">ОКАТО 402655630001  </w:t>
            </w:r>
          </w:p>
        </w:tc>
        <w:tc>
          <w:tcPr>
            <w:tcW w:w="5202" w:type="dxa"/>
            <w:tcBorders/>
            <w:shd w:fill="auto" w:val="clear"/>
          </w:tcPr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/>
                <w:b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Style w:val="Style16"/>
                <w:rFonts w:eastAsia="Tahoma" w:cs="Tahoma" w:ascii="Tahoma" w:hAnsi="Tahoma"/>
                <w:b w:val="false"/>
                <w:bCs w:val="false"/>
                <w:spacing w:val="3"/>
                <w:kern w:val="0"/>
                <w:sz w:val="12"/>
                <w:szCs w:val="12"/>
              </w:rPr>
              <w:t>Лицензиар</w:t>
            </w: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: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</w:tc>
        <w:tc>
          <w:tcPr>
            <w:tcW w:w="6" w:type="dxa"/>
            <w:tcBorders/>
            <w:shd w:fill="auto" w:val="clear"/>
          </w:tcPr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</w:tc>
      </w:tr>
      <w:tr>
        <w:trPr>
          <w:trHeight w:val="1740" w:hRule="atLeast"/>
        </w:trPr>
        <w:tc>
          <w:tcPr>
            <w:tcW w:w="5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tcMar>
              <w:left w:w="108" w:type="dxa"/>
              <w:right w:w="108" w:type="dxa"/>
            </w:tcMar>
          </w:tcPr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 xml:space="preserve">От </w:t>
            </w:r>
            <w:r>
              <w:rPr>
                <w:rStyle w:val="Style16"/>
                <w:rFonts w:eastAsia="Tahoma" w:cs="Tahoma" w:ascii="Tahoma" w:hAnsi="Tahoma"/>
                <w:b w:val="false"/>
                <w:bCs w:val="false"/>
                <w:spacing w:val="3"/>
                <w:kern w:val="0"/>
                <w:sz w:val="12"/>
                <w:szCs w:val="12"/>
              </w:rPr>
              <w:t>Лицензиат</w:t>
            </w: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: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Главный врач Санкт-Петербургского государственного бюджетного учреждения здравоохранения «Городская многопрофильная больница №2»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_______________________ /В. А. Волчков/</w:t>
            </w:r>
          </w:p>
        </w:tc>
        <w:tc>
          <w:tcPr>
            <w:tcW w:w="5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left w:w="108" w:type="dxa"/>
              <w:right w:w="108" w:type="dxa"/>
            </w:tcMar>
          </w:tcPr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 xml:space="preserve">От </w:t>
            </w:r>
            <w:r>
              <w:rPr>
                <w:rStyle w:val="Style16"/>
                <w:rFonts w:eastAsia="Tahoma" w:cs="Tahoma" w:ascii="Tahoma" w:hAnsi="Tahoma"/>
                <w:b w:val="false"/>
                <w:bCs w:val="false"/>
                <w:spacing w:val="3"/>
                <w:kern w:val="0"/>
                <w:sz w:val="12"/>
                <w:szCs w:val="12"/>
              </w:rPr>
              <w:t>Лицензиар</w:t>
            </w:r>
            <w:r>
              <w:rPr>
                <w:rStyle w:val="Style16"/>
                <w:rFonts w:eastAsia="Tahoma" w:cs="Tahoma" w:ascii="Tahoma" w:hAnsi="Tahoma"/>
                <w:b w:val="false"/>
                <w:bCs w:val="false"/>
                <w:spacing w:val="3"/>
                <w:kern w:val="0"/>
                <w:sz w:val="12"/>
                <w:szCs w:val="12"/>
              </w:rPr>
              <w:t>а</w:t>
            </w: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 xml:space="preserve">: 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t>____________________/ ______________/</w:t>
            </w:r>
          </w:p>
          <w:p>
            <w:pPr>
              <w:pStyle w:val="23"/>
              <w:framePr w:w="10560" w:hRule="exact" w:h="12485" w:hSpace="0" w:vSpace="0" w:wrap="around" w:y="2075" w:vAnchor="page" w:x="675" w:hAnchor="page"/>
              <w:pBdr/>
              <w:shd w:fill="FFFFFF" w:val="clear"/>
              <w:rPr>
                <w:rFonts w:ascii="Tahoma" w:hAnsi="Tahoma" w:eastAsia="Tahoma" w:cs="Tahoma"/>
                <w:b w:val="false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  <w:framePr w:w="10560" w:h="12485" w:x="675" w:y="2075" w:wrap="auto" w:vAnchor="page" w:hAnchor="page" w:hRule="exact"/>
            </w:pPr>
            <w:r>
              <w:rPr>
                <w:rFonts w:eastAsia="Tahoma" w:cs="Tahoma" w:ascii="Tahoma" w:hAnsi="Tahoma"/>
                <w:b w:val="false"/>
                <w:bCs w:val="false"/>
                <w:color w:val="000000"/>
                <w:spacing w:val="3"/>
                <w:kern w:val="0"/>
                <w:sz w:val="12"/>
                <w:szCs w:val="12"/>
                <w:lang w:val="ru-RU" w:eastAsia="ru-RU" w:bidi="ru-RU"/>
              </w:rPr>
            </w:r>
          </w:p>
        </w:tc>
      </w:tr>
    </w:tbl>
    <w:p>
      <w:pPr>
        <w:pStyle w:val="Normal"/>
        <w:rPr/>
        <w:framePr w:w="10560" w:h="12485" w:x="675" w:y="2075" w:wrap="auto" w:vAnchor="page" w:hAnchor="page" w:hRule="exact"/>
      </w:pPr>
      <w:r>
        <w:rPr/>
      </w:r>
    </w:p>
    <w:sectPr>
      <w:type w:val="nextPage"/>
      <w:pgSz w:w="11906" w:h="16838"/>
      <w:pgMar w:left="0" w:right="0" w:header="0" w:top="0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1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•"/>
      <w:lvlJc w:val="left"/>
      <w:pPr>
        <w:ind w:left="0" w:hanging="0"/>
      </w:pPr>
      <w:rPr>
        <w:rFonts w:ascii="Tahoma" w:hAnsi="Tahoma" w:cs="Tahoma" w:hint="default"/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2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4">
    <w:lvl w:ilvl="0">
      <w:start w:val="1"/>
      <w:numFmt w:val="decimal"/>
      <w:lvlText w:val="2.3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5">
    <w:lvl w:ilvl="0">
      <w:start w:val="1"/>
      <w:numFmt w:val="decimal"/>
      <w:lvlText w:val="3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6">
    <w:lvl w:ilvl="0">
      <w:start w:val="1"/>
      <w:numFmt w:val="decimal"/>
      <w:lvlText w:val="4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7">
    <w:lvl w:ilvl="0">
      <w:start w:val="1"/>
      <w:numFmt w:val="decimal"/>
      <w:lvlText w:val="5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2"/>
        <w:spacing w:val="3"/>
        <w:i w:val="false"/>
        <w:u w:val="none"/>
        <w:b w:val="false"/>
        <w:szCs w:val="12"/>
        <w:iCs w:val="false"/>
        <w:bCs w:val="false"/>
        <w:w w:val="100"/>
        <w:rFonts w:eastAsia="Tahoma" w:cs="Tahoma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40"/>
  <w:defaultTabStop w:val="708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szCs w:val="24"/>
        <w:lang w:val="ru-RU" w:eastAsia="ru-RU" w:bidi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4a8d"/>
    <w:pPr>
      <w:widowControl w:val="false"/>
      <w:bidi w:val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314a8d"/>
    <w:rPr>
      <w:color w:val="0066CC"/>
      <w:u w:val="single"/>
    </w:rPr>
  </w:style>
  <w:style w:type="character" w:styleId="2" w:customStyle="1">
    <w:name w:val="Основной текст (2)_"/>
    <w:basedOn w:val="DefaultParagraphFont"/>
    <w:link w:val="20"/>
    <w:qFormat/>
    <w:rsid w:val="00314a8d"/>
    <w:rPr>
      <w:rFonts w:ascii="Tahoma" w:hAnsi="Tahoma" w:eastAsia="Tahoma" w:cs="Tahoma"/>
      <w:b/>
      <w:bCs/>
      <w:i w:val="false"/>
      <w:iCs w:val="false"/>
      <w:caps w:val="false"/>
      <w:smallCaps w:val="false"/>
      <w:strike w:val="false"/>
      <w:dstrike w:val="false"/>
      <w:spacing w:val="3"/>
      <w:sz w:val="12"/>
      <w:szCs w:val="12"/>
      <w:u w:val="none"/>
    </w:rPr>
  </w:style>
  <w:style w:type="character" w:styleId="Style15" w:customStyle="1">
    <w:name w:val="Основной текст_"/>
    <w:basedOn w:val="DefaultParagraphFont"/>
    <w:link w:val="3"/>
    <w:qFormat/>
    <w:rsid w:val="00314a8d"/>
    <w:rPr>
      <w:rFonts w:ascii="Tahoma" w:hAnsi="Tahoma"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spacing w:val="3"/>
      <w:sz w:val="12"/>
      <w:szCs w:val="12"/>
      <w:u w:val="none"/>
    </w:rPr>
  </w:style>
  <w:style w:type="character" w:styleId="Style16" w:customStyle="1">
    <w:name w:val="Основной текст + Полужирный"/>
    <w:basedOn w:val="Style15"/>
    <w:qFormat/>
    <w:rsid w:val="00314a8d"/>
    <w:rPr>
      <w:b/>
      <w:bCs/>
      <w:color w:val="000000"/>
      <w:w w:val="100"/>
      <w:lang w:val="ru-RU" w:eastAsia="ru-RU" w:bidi="ru-RU"/>
    </w:rPr>
  </w:style>
  <w:style w:type="character" w:styleId="1" w:customStyle="1">
    <w:name w:val="Основной текст1"/>
    <w:basedOn w:val="Style15"/>
    <w:qFormat/>
    <w:rsid w:val="00314a8d"/>
    <w:rPr>
      <w:color w:val="000000"/>
      <w:w w:val="100"/>
      <w:u w:val="single"/>
      <w:lang w:val="en-US" w:eastAsia="en-US" w:bidi="en-US"/>
    </w:rPr>
  </w:style>
  <w:style w:type="character" w:styleId="21" w:customStyle="1">
    <w:name w:val="Основной текст2"/>
    <w:basedOn w:val="Style15"/>
    <w:qFormat/>
    <w:rsid w:val="00314a8d"/>
    <w:rPr>
      <w:color w:val="000000"/>
      <w:w w:val="100"/>
      <w:lang w:val="en-US" w:eastAsia="en-US" w:bidi="en-US"/>
    </w:rPr>
  </w:style>
  <w:style w:type="character" w:styleId="22" w:customStyle="1">
    <w:name w:val="Основной текст (2) + Не полужирный"/>
    <w:basedOn w:val="2"/>
    <w:qFormat/>
    <w:rsid w:val="00314a8d"/>
    <w:rPr>
      <w:b/>
      <w:bCs/>
      <w:color w:val="000000"/>
      <w:w w:val="100"/>
      <w:lang w:val="ru-RU" w:eastAsia="ru-RU" w:bidi="ru-RU"/>
    </w:rPr>
  </w:style>
  <w:style w:type="character" w:styleId="ListLabel1">
    <w:name w:val="ListLabel 1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2">
    <w:name w:val="ListLabel 2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3">
    <w:name w:val="ListLabel 3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4">
    <w:name w:val="ListLabel 4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5">
    <w:name w:val="ListLabel 5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6">
    <w:name w:val="ListLabel 6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7">
    <w:name w:val="ListLabel 7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8">
    <w:name w:val="ListLabel 8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9">
    <w:name w:val="ListLabel 9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0">
    <w:name w:val="ListLabel 10"/>
    <w:qFormat/>
    <w:rPr/>
  </w:style>
  <w:style w:type="character" w:styleId="ListLabel11">
    <w:name w:val="ListLabel 11"/>
    <w:qFormat/>
    <w:rPr>
      <w:lang w:eastAsia="en-US" w:bidi="en-US"/>
    </w:rPr>
  </w:style>
  <w:style w:type="character" w:styleId="ListLabel12">
    <w:name w:val="ListLabel 12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3">
    <w:name w:val="ListLabel 13"/>
    <w:qFormat/>
    <w:rPr>
      <w:rFonts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4">
    <w:name w:val="ListLabel 14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5">
    <w:name w:val="ListLabel 15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6">
    <w:name w:val="ListLabel 16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7">
    <w:name w:val="ListLabel 17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8">
    <w:name w:val="ListLabel 18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19">
    <w:name w:val="ListLabel 19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20">
    <w:name w:val="ListLabel 20"/>
    <w:qFormat/>
    <w:rPr>
      <w:rFonts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12"/>
      <w:szCs w:val="12"/>
      <w:u w:val="none"/>
      <w:lang w:val="ru-RU" w:eastAsia="ru-RU" w:bidi="ru-RU"/>
    </w:rPr>
  </w:style>
  <w:style w:type="character" w:styleId="ListLabel21">
    <w:name w:val="ListLabel 21"/>
    <w:qFormat/>
    <w:rPr/>
  </w:style>
  <w:style w:type="character" w:styleId="ListLabel22">
    <w:name w:val="ListLabel 22"/>
    <w:qFormat/>
    <w:rPr>
      <w:lang w:eastAsia="en-US" w:bidi="en-US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23" w:customStyle="1">
    <w:name w:val="Основной текст (2)"/>
    <w:basedOn w:val="Normal"/>
    <w:link w:val="2"/>
    <w:qFormat/>
    <w:rsid w:val="00314a8d"/>
    <w:pPr>
      <w:shd w:val="clear" w:color="auto" w:fill="FFFFFF"/>
      <w:spacing w:lineRule="exact" w:line="202"/>
    </w:pPr>
    <w:rPr>
      <w:rFonts w:ascii="Tahoma" w:hAnsi="Tahoma" w:eastAsia="Tahoma" w:cs="Tahoma"/>
      <w:b/>
      <w:bCs/>
      <w:spacing w:val="3"/>
      <w:sz w:val="12"/>
      <w:szCs w:val="12"/>
    </w:rPr>
  </w:style>
  <w:style w:type="paragraph" w:styleId="3" w:customStyle="1">
    <w:name w:val="Основной текст3"/>
    <w:basedOn w:val="Normal"/>
    <w:link w:val="a4"/>
    <w:qFormat/>
    <w:rsid w:val="00314a8d"/>
    <w:pPr>
      <w:shd w:val="clear" w:color="auto" w:fill="FFFFFF"/>
      <w:spacing w:lineRule="exact" w:line="168"/>
      <w:ind w:hanging="380"/>
      <w:jc w:val="both"/>
    </w:pPr>
    <w:rPr>
      <w:rFonts w:ascii="Tahoma" w:hAnsi="Tahoma" w:eastAsia="Tahoma" w:cs="Tahoma"/>
      <w:spacing w:val="3"/>
      <w:sz w:val="12"/>
      <w:szCs w:val="12"/>
    </w:rPr>
  </w:style>
  <w:style w:type="paragraph" w:styleId="Style22">
    <w:name w:val="Содержимое врезки"/>
    <w:basedOn w:val="Normal"/>
    <w:qFormat/>
    <w:pPr/>
    <w:rPr/>
  </w:style>
  <w:style w:type="paragraph" w:styleId="NoSpacing">
    <w:name w:val="No Spacing"/>
    <w:qFormat/>
    <w:pPr>
      <w:widowControl/>
      <w:suppressAutoHyphens w:val="true"/>
      <w:bidi w:val="0"/>
      <w:jc w:val="left"/>
    </w:pPr>
    <w:rPr>
      <w:rFonts w:ascii="Calibri" w:hAnsi="Calibri" w:eastAsia="Calibri" w:cs=""/>
      <w:color w:val="auto"/>
      <w:kern w:val="0"/>
      <w:sz w:val="24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bis.ru/tariffs" TargetMode="External"/><Relationship Id="rId3" Type="http://schemas.openxmlformats.org/officeDocument/2006/relationships/hyperlink" Target="https://sbis.ru/reglament" TargetMode="External"/><Relationship Id="rId4" Type="http://schemas.openxmlformats.org/officeDocument/2006/relationships/hyperlink" Target="https://sbis.ru/tariffs&quot;" TargetMode="External"/><Relationship Id="rId5" Type="http://schemas.openxmlformats.org/officeDocument/2006/relationships/hyperlink" Target="https://sbis.ru/tariffs" TargetMode="External"/><Relationship Id="rId6" Type="http://schemas.openxmlformats.org/officeDocument/2006/relationships/hyperlink" Target="https://help.sbis.ru/" TargetMode="External"/><Relationship Id="rId7" Type="http://schemas.openxmlformats.org/officeDocument/2006/relationships/hyperlink" Target="https://sbis.ru/tariffs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LibreOffice/6.2.5.2$Windows_X86_64 LibreOffice_project/1ec314fa52f458adc18c4f025c545a4e8b22c159</Application>
  <Pages>1</Pages>
  <Words>667</Words>
  <Characters>4900</Characters>
  <CharactersWithSpaces>5530</CharactersWithSpaces>
  <Paragraphs>48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2024-04-25T08:18:00Z</dcterms:created>
  <dc:creator>User</dc:creator>
  <dc:description/>
  <dc:language>ru-RU</dc:language>
  <cp:lastModifiedBy/>
  <dcterms:modified xsi:type="dcterms:W3CDTF">2024-06-10T14:41:42Z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