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EFEB2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7DCDDC89" w14:textId="1521B58F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r w:rsidR="000122E7"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 заключаемого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240B3C8E" w14:textId="77777777" w:rsidR="007C6C99" w:rsidRDefault="007C6C99" w:rsidP="007C6C9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7C6C99" w:rsidRPr="00397E92" w14:paraId="0447D18B" w14:textId="77777777" w:rsidTr="00C53247">
        <w:tc>
          <w:tcPr>
            <w:tcW w:w="3050" w:type="dxa"/>
          </w:tcPr>
          <w:p w14:paraId="5E1ECC61" w14:textId="77777777" w:rsidR="007C6C99" w:rsidRPr="000F7F95" w:rsidRDefault="007C6C99" w:rsidP="00C532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Начальная (максимальная) цена контракта определена иным методом и составляет</w:t>
            </w:r>
          </w:p>
        </w:tc>
        <w:tc>
          <w:tcPr>
            <w:tcW w:w="12571" w:type="dxa"/>
          </w:tcPr>
          <w:p w14:paraId="5E93994D" w14:textId="77777777" w:rsidR="007C6C99" w:rsidRDefault="007C6C99" w:rsidP="00C5324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Начальная (максимальная) цена контракта определена и обоснована в соответствии с требованиями статьи 22 Закона и порядка определения цены контракта, заключаемого с единственным поставщиком (подрядчиком, исполнителем), посредством применения иного метода.</w:t>
            </w:r>
          </w:p>
          <w:p w14:paraId="5F6D06AC" w14:textId="77777777" w:rsidR="007C6C99" w:rsidRDefault="007C6C99" w:rsidP="00C5324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Невозможность применения методов, указанных в части 1 статьи 22 Закона, обусловлена следующим:</w:t>
            </w:r>
          </w:p>
          <w:p w14:paraId="74A5DD4E" w14:textId="4F7C7135" w:rsidR="007C6C99" w:rsidRDefault="007C6C99" w:rsidP="00C5324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метода сопоставимых рыночных цен (анализа рынка): при данном методе расчет начальной максимальной цены контракта составил 18 300</w:t>
            </w:r>
            <w:r w:rsidRPr="003E4B2B">
              <w:rPr>
                <w:sz w:val="18"/>
                <w:szCs w:val="18"/>
              </w:rPr>
              <w:t>,00</w:t>
            </w:r>
            <w:r>
              <w:rPr>
                <w:sz w:val="18"/>
                <w:szCs w:val="18"/>
              </w:rPr>
              <w:t xml:space="preserve"> руб. На основании размера субсидий, предоставленных из бюджетов бюджетной системы Российской Федерации Заказчику на закупку, Заказчик принял решение установить НМЦК по минимальной цене источника ценовой информации.</w:t>
            </w:r>
          </w:p>
          <w:p w14:paraId="1A27FDF6" w14:textId="77777777" w:rsidR="007C6C99" w:rsidRDefault="007C6C99" w:rsidP="00C5324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нормативного метода - цена на данные товары не нормируется в соответствии с действующим законодательством Российской Федерации;</w:t>
            </w:r>
          </w:p>
          <w:p w14:paraId="0B468D54" w14:textId="77777777" w:rsidR="007C6C99" w:rsidRDefault="007C6C99" w:rsidP="00C5324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тарифного метода - цена на данные товары не подлежат государственному регулированию в соответствии с законодательством Российской Федерации;</w:t>
            </w:r>
          </w:p>
          <w:p w14:paraId="2CA88384" w14:textId="77777777" w:rsidR="007C6C99" w:rsidRDefault="007C6C99" w:rsidP="00C5324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4) проектно-сметного метода – применение проектно-сметного метода определения НМЦК на поставку товара невозможно, так как не поименованы в частях 9 и 9.1 статьи 22 Федерального закона № 44-ФЗ.</w:t>
            </w:r>
          </w:p>
          <w:p w14:paraId="57CA3B0A" w14:textId="77777777" w:rsidR="007C6C99" w:rsidRPr="000F7F95" w:rsidRDefault="007C6C99" w:rsidP="00C53247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5) затратного метода – НМЦК на поставку товаров затратным методом не может быть определена из-за отсутствия информации о прямых и косвенных затратах, затратах на транспортировку, хранение, страхование и иных затратах.</w:t>
            </w:r>
          </w:p>
        </w:tc>
      </w:tr>
      <w:tr w:rsidR="007C6C99" w:rsidRPr="00397E92" w14:paraId="76FF967F" w14:textId="77777777" w:rsidTr="00C53247">
        <w:tc>
          <w:tcPr>
            <w:tcW w:w="3050" w:type="dxa"/>
          </w:tcPr>
          <w:p w14:paraId="523E6BFB" w14:textId="77777777" w:rsidR="007C6C99" w:rsidRPr="004F0147" w:rsidRDefault="007C6C99" w:rsidP="00C532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3FC155A6" w14:textId="77777777" w:rsidR="007C6C99" w:rsidRPr="009D14DF" w:rsidRDefault="007C6C99" w:rsidP="00C532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0CAABF5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0D7C4820" w14:textId="7FE76B04" w:rsidR="00FA37B7" w:rsidRPr="00FA37B7" w:rsidRDefault="0000000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7C6C99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 xml:space="preserve">Поставка электротехнической продукции для нужд </w:t>
          </w:r>
          <w:r w:rsidR="007C6C99" w:rsidRPr="007C6C99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Санкт-Петербургское государственное бюджетное учреждение культуры «Театр юных зрителей им. А. А. Брянцева»</w:t>
          </w:r>
        </w:sdtContent>
      </w:sdt>
    </w:p>
    <w:p w14:paraId="73E7B855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1B978460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7FEE5508" wp14:editId="75411DB2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E1525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7D3DDDBE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4970AFCB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0314DCA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5260FD2E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27"/>
        <w:gridCol w:w="1891"/>
        <w:gridCol w:w="793"/>
        <w:gridCol w:w="601"/>
        <w:gridCol w:w="2088"/>
        <w:gridCol w:w="1055"/>
        <w:gridCol w:w="1410"/>
        <w:gridCol w:w="1686"/>
        <w:gridCol w:w="1911"/>
        <w:gridCol w:w="2018"/>
      </w:tblGrid>
      <w:tr w:rsidR="00FA37B7" w:rsidRPr="00FA37B7" w14:paraId="5DF9BB07" w14:textId="77777777" w:rsidTr="00FE3028">
        <w:trPr>
          <w:cantSplit/>
        </w:trPr>
        <w:tc>
          <w:tcPr>
            <w:tcW w:w="408" w:type="dxa"/>
            <w:vAlign w:val="center"/>
          </w:tcPr>
          <w:p w14:paraId="6DDDAEB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6C85A87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5E9D6174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56B09933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4FF20F3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143FB5F0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6B3367B1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2E1DD149" w14:textId="77777777" w:rsidR="00FA37B7" w:rsidRPr="00FA37B7" w:rsidRDefault="0000000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8F2AB38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5E1D375D" wp14:editId="21E1D4D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209F6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FADE3DC" wp14:editId="7D0B66E1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1EDA6DD3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B3EF8D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3976BE99" wp14:editId="1B7ACCF9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6D57FE3E" w14:textId="7777777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088EE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302C17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патрон</w:t>
            </w:r>
          </w:p>
        </w:tc>
        <w:tc>
          <w:tcPr>
            <w:tcW w:w="1988" w:type="dxa"/>
            <w:vMerge w:val="restart"/>
            <w:vAlign w:val="center"/>
          </w:tcPr>
          <w:p w14:paraId="26832E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27.12.10.140</w:t>
            </w:r>
          </w:p>
        </w:tc>
        <w:tc>
          <w:tcPr>
            <w:tcW w:w="811" w:type="dxa"/>
            <w:vMerge w:val="restart"/>
            <w:vAlign w:val="center"/>
          </w:tcPr>
          <w:p w14:paraId="11984A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42,00</w:t>
            </w:r>
          </w:p>
        </w:tc>
        <w:tc>
          <w:tcPr>
            <w:tcW w:w="606" w:type="dxa"/>
            <w:vMerge w:val="restart"/>
            <w:vAlign w:val="center"/>
          </w:tcPr>
          <w:p w14:paraId="1A5D17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005E80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447772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52,00</w:t>
            </w:r>
          </w:p>
        </w:tc>
        <w:tc>
          <w:tcPr>
            <w:tcW w:w="1225" w:type="dxa"/>
            <w:vMerge w:val="restart"/>
            <w:vAlign w:val="center"/>
          </w:tcPr>
          <w:p w14:paraId="3566DB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52,00</w:t>
            </w:r>
          </w:p>
        </w:tc>
        <w:tc>
          <w:tcPr>
            <w:tcW w:w="1686" w:type="dxa"/>
            <w:vMerge w:val="restart"/>
            <w:vAlign w:val="center"/>
          </w:tcPr>
          <w:p w14:paraId="460CA0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6,44</w:t>
            </w:r>
          </w:p>
        </w:tc>
        <w:tc>
          <w:tcPr>
            <w:tcW w:w="1911" w:type="dxa"/>
            <w:vMerge w:val="restart"/>
            <w:vAlign w:val="center"/>
          </w:tcPr>
          <w:p w14:paraId="6D6797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11,11</w:t>
            </w:r>
          </w:p>
        </w:tc>
        <w:tc>
          <w:tcPr>
            <w:tcW w:w="2018" w:type="dxa"/>
            <w:vMerge w:val="restart"/>
            <w:vAlign w:val="center"/>
          </w:tcPr>
          <w:p w14:paraId="3A1908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2 184,00</w:t>
            </w:r>
          </w:p>
        </w:tc>
      </w:tr>
      <w:tr w:rsidR="00FA37B7" w:rsidRPr="00FA37B7" w14:paraId="1C89FF20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3C190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13E2A1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патрон</w:t>
            </w:r>
          </w:p>
        </w:tc>
        <w:tc>
          <w:tcPr>
            <w:tcW w:w="1988" w:type="dxa"/>
            <w:vMerge/>
            <w:vAlign w:val="center"/>
          </w:tcPr>
          <w:p w14:paraId="78477E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27.12.10.140</w:t>
            </w:r>
          </w:p>
        </w:tc>
        <w:tc>
          <w:tcPr>
            <w:tcW w:w="811" w:type="dxa"/>
            <w:vMerge/>
            <w:vAlign w:val="center"/>
          </w:tcPr>
          <w:p w14:paraId="69C623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42,00</w:t>
            </w:r>
          </w:p>
        </w:tc>
        <w:tc>
          <w:tcPr>
            <w:tcW w:w="606" w:type="dxa"/>
            <w:vMerge/>
            <w:vAlign w:val="center"/>
          </w:tcPr>
          <w:p w14:paraId="715173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CBAE0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08447A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64,80</w:t>
            </w:r>
          </w:p>
        </w:tc>
        <w:tc>
          <w:tcPr>
            <w:tcW w:w="1225" w:type="dxa"/>
            <w:vMerge/>
            <w:vAlign w:val="center"/>
          </w:tcPr>
          <w:p w14:paraId="461F49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52,00</w:t>
            </w:r>
          </w:p>
        </w:tc>
        <w:tc>
          <w:tcPr>
            <w:tcW w:w="1686" w:type="dxa"/>
            <w:vMerge/>
            <w:vAlign w:val="center"/>
          </w:tcPr>
          <w:p w14:paraId="39649C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6,44</w:t>
            </w:r>
          </w:p>
        </w:tc>
        <w:tc>
          <w:tcPr>
            <w:tcW w:w="1911" w:type="dxa"/>
            <w:vMerge/>
            <w:vAlign w:val="center"/>
          </w:tcPr>
          <w:p w14:paraId="63C1E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11,11</w:t>
            </w:r>
          </w:p>
        </w:tc>
        <w:tc>
          <w:tcPr>
            <w:tcW w:w="2018" w:type="dxa"/>
            <w:vMerge/>
            <w:vAlign w:val="center"/>
          </w:tcPr>
          <w:p w14:paraId="203E99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2 184,00</w:t>
            </w:r>
          </w:p>
        </w:tc>
      </w:tr>
      <w:tr w:rsidR="00FA37B7" w:rsidRPr="00FA37B7" w14:paraId="0D1E67FB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50D1E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1346D8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патрон</w:t>
            </w:r>
          </w:p>
        </w:tc>
        <w:tc>
          <w:tcPr>
            <w:tcW w:w="1988" w:type="dxa"/>
            <w:vMerge/>
            <w:vAlign w:val="center"/>
          </w:tcPr>
          <w:p w14:paraId="1FDD2F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27.12.10.140</w:t>
            </w:r>
          </w:p>
        </w:tc>
        <w:tc>
          <w:tcPr>
            <w:tcW w:w="811" w:type="dxa"/>
            <w:vMerge/>
            <w:vAlign w:val="center"/>
          </w:tcPr>
          <w:p w14:paraId="03684B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42,00</w:t>
            </w:r>
          </w:p>
        </w:tc>
        <w:tc>
          <w:tcPr>
            <w:tcW w:w="606" w:type="dxa"/>
            <w:vMerge/>
            <w:vAlign w:val="center"/>
          </w:tcPr>
          <w:p w14:paraId="53182D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61A982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3EF1F4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57,11</w:t>
            </w:r>
          </w:p>
        </w:tc>
        <w:tc>
          <w:tcPr>
            <w:tcW w:w="1225" w:type="dxa"/>
            <w:vMerge/>
            <w:vAlign w:val="center"/>
          </w:tcPr>
          <w:p w14:paraId="633B85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52,00</w:t>
            </w:r>
          </w:p>
        </w:tc>
        <w:tc>
          <w:tcPr>
            <w:tcW w:w="1686" w:type="dxa"/>
            <w:vMerge/>
            <w:vAlign w:val="center"/>
          </w:tcPr>
          <w:p w14:paraId="7D84AD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6,44</w:t>
            </w:r>
          </w:p>
        </w:tc>
        <w:tc>
          <w:tcPr>
            <w:tcW w:w="1911" w:type="dxa"/>
            <w:vMerge/>
            <w:vAlign w:val="center"/>
          </w:tcPr>
          <w:p w14:paraId="660849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11,11</w:t>
            </w:r>
          </w:p>
        </w:tc>
        <w:tc>
          <w:tcPr>
            <w:tcW w:w="2018" w:type="dxa"/>
            <w:vMerge/>
            <w:vAlign w:val="center"/>
          </w:tcPr>
          <w:p w14:paraId="67002F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2 184,00</w:t>
            </w:r>
          </w:p>
        </w:tc>
      </w:tr>
      <w:tr w:rsidR="00FA37B7" w:rsidRPr="00FA37B7" w14:paraId="25638063" w14:textId="7777777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287B6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0" w:type="dxa"/>
            <w:vMerge w:val="restart"/>
            <w:vAlign w:val="center"/>
          </w:tcPr>
          <w:p w14:paraId="0B625D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провод</w:t>
            </w:r>
          </w:p>
        </w:tc>
        <w:tc>
          <w:tcPr>
            <w:tcW w:w="1988" w:type="dxa"/>
            <w:vMerge w:val="restart"/>
            <w:vAlign w:val="center"/>
          </w:tcPr>
          <w:p w14:paraId="57AF0D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27.32.13.199</w:t>
            </w:r>
          </w:p>
        </w:tc>
        <w:tc>
          <w:tcPr>
            <w:tcW w:w="811" w:type="dxa"/>
            <w:vMerge w:val="restart"/>
            <w:vAlign w:val="center"/>
          </w:tcPr>
          <w:p w14:paraId="71ABBE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600,00</w:t>
            </w:r>
          </w:p>
        </w:tc>
        <w:tc>
          <w:tcPr>
            <w:tcW w:w="606" w:type="dxa"/>
            <w:vMerge w:val="restart"/>
            <w:vAlign w:val="center"/>
          </w:tcPr>
          <w:p w14:paraId="64C741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4B2375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2A5E00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26,86</w:t>
            </w:r>
          </w:p>
        </w:tc>
        <w:tc>
          <w:tcPr>
            <w:tcW w:w="1225" w:type="dxa"/>
            <w:vMerge w:val="restart"/>
            <w:vAlign w:val="center"/>
          </w:tcPr>
          <w:p w14:paraId="733A26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26,86</w:t>
            </w:r>
          </w:p>
        </w:tc>
        <w:tc>
          <w:tcPr>
            <w:tcW w:w="1686" w:type="dxa"/>
            <w:vMerge w:val="restart"/>
            <w:vAlign w:val="center"/>
          </w:tcPr>
          <w:p w14:paraId="18F144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7,71</w:t>
            </w:r>
          </w:p>
        </w:tc>
        <w:tc>
          <w:tcPr>
            <w:tcW w:w="1911" w:type="dxa"/>
            <w:vMerge w:val="restart"/>
            <w:vAlign w:val="center"/>
          </w:tcPr>
          <w:p w14:paraId="7AEC0A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23,98</w:t>
            </w:r>
          </w:p>
        </w:tc>
        <w:tc>
          <w:tcPr>
            <w:tcW w:w="2018" w:type="dxa"/>
            <w:vMerge w:val="restart"/>
            <w:vAlign w:val="center"/>
          </w:tcPr>
          <w:p w14:paraId="4C5CF6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16 116,00</w:t>
            </w:r>
          </w:p>
        </w:tc>
      </w:tr>
      <w:tr w:rsidR="00FA37B7" w:rsidRPr="00FA37B7" w14:paraId="405936A4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54117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2</w:t>
            </w:r>
          </w:p>
        </w:tc>
        <w:tc>
          <w:tcPr>
            <w:tcW w:w="1540" w:type="dxa"/>
            <w:vMerge/>
            <w:vAlign w:val="center"/>
          </w:tcPr>
          <w:p w14:paraId="5D2D8D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провод</w:t>
            </w:r>
          </w:p>
        </w:tc>
        <w:tc>
          <w:tcPr>
            <w:tcW w:w="1988" w:type="dxa"/>
            <w:vMerge/>
            <w:vAlign w:val="center"/>
          </w:tcPr>
          <w:p w14:paraId="379BB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27.32.13.199</w:t>
            </w:r>
          </w:p>
        </w:tc>
        <w:tc>
          <w:tcPr>
            <w:tcW w:w="811" w:type="dxa"/>
            <w:vMerge/>
            <w:vAlign w:val="center"/>
          </w:tcPr>
          <w:p w14:paraId="6CB728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600,00</w:t>
            </w:r>
          </w:p>
        </w:tc>
        <w:tc>
          <w:tcPr>
            <w:tcW w:w="606" w:type="dxa"/>
            <w:vMerge/>
            <w:vAlign w:val="center"/>
          </w:tcPr>
          <w:p w14:paraId="499D36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2F4DDE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5959D8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41,00</w:t>
            </w:r>
          </w:p>
        </w:tc>
        <w:tc>
          <w:tcPr>
            <w:tcW w:w="1225" w:type="dxa"/>
            <w:vMerge/>
            <w:vAlign w:val="center"/>
          </w:tcPr>
          <w:p w14:paraId="66CFD0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26,86</w:t>
            </w:r>
          </w:p>
        </w:tc>
        <w:tc>
          <w:tcPr>
            <w:tcW w:w="1686" w:type="dxa"/>
            <w:vMerge/>
            <w:vAlign w:val="center"/>
          </w:tcPr>
          <w:p w14:paraId="4D6EF9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7,71</w:t>
            </w:r>
          </w:p>
        </w:tc>
        <w:tc>
          <w:tcPr>
            <w:tcW w:w="1911" w:type="dxa"/>
            <w:vMerge/>
            <w:vAlign w:val="center"/>
          </w:tcPr>
          <w:p w14:paraId="3554EA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23,98</w:t>
            </w:r>
          </w:p>
        </w:tc>
        <w:tc>
          <w:tcPr>
            <w:tcW w:w="2018" w:type="dxa"/>
            <w:vMerge/>
            <w:vAlign w:val="center"/>
          </w:tcPr>
          <w:p w14:paraId="15A39A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16 116,00</w:t>
            </w:r>
          </w:p>
        </w:tc>
      </w:tr>
      <w:tr w:rsidR="00FA37B7" w:rsidRPr="00FA37B7" w14:paraId="3458DDB3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99216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14:paraId="347926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провод</w:t>
            </w:r>
          </w:p>
        </w:tc>
        <w:tc>
          <w:tcPr>
            <w:tcW w:w="1988" w:type="dxa"/>
            <w:vMerge/>
            <w:vAlign w:val="center"/>
          </w:tcPr>
          <w:p w14:paraId="26BE24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27.32.13.199</w:t>
            </w:r>
          </w:p>
        </w:tc>
        <w:tc>
          <w:tcPr>
            <w:tcW w:w="811" w:type="dxa"/>
            <w:vMerge/>
            <w:vAlign w:val="center"/>
          </w:tcPr>
          <w:p w14:paraId="678EBA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600,00</w:t>
            </w:r>
          </w:p>
        </w:tc>
        <w:tc>
          <w:tcPr>
            <w:tcW w:w="606" w:type="dxa"/>
            <w:vMerge/>
            <w:vAlign w:val="center"/>
          </w:tcPr>
          <w:p w14:paraId="69A508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7B320C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4A07EC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28,60</w:t>
            </w:r>
          </w:p>
        </w:tc>
        <w:tc>
          <w:tcPr>
            <w:tcW w:w="1225" w:type="dxa"/>
            <w:vMerge/>
            <w:vAlign w:val="center"/>
          </w:tcPr>
          <w:p w14:paraId="2D10C7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26,86</w:t>
            </w:r>
          </w:p>
        </w:tc>
        <w:tc>
          <w:tcPr>
            <w:tcW w:w="1686" w:type="dxa"/>
            <w:vMerge/>
            <w:vAlign w:val="center"/>
          </w:tcPr>
          <w:p w14:paraId="77D0BA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7,71</w:t>
            </w:r>
          </w:p>
        </w:tc>
        <w:tc>
          <w:tcPr>
            <w:tcW w:w="1911" w:type="dxa"/>
            <w:vMerge/>
            <w:vAlign w:val="center"/>
          </w:tcPr>
          <w:p w14:paraId="1D8946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23,98</w:t>
            </w:r>
          </w:p>
        </w:tc>
        <w:tc>
          <w:tcPr>
            <w:tcW w:w="2018" w:type="dxa"/>
            <w:vMerge/>
            <w:vAlign w:val="center"/>
          </w:tcPr>
          <w:p w14:paraId="3663F9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16 116,00</w:t>
            </w:r>
          </w:p>
        </w:tc>
      </w:tr>
      <w:tr w:rsidR="00FA37B7" w:rsidRPr="00FA37B7" w14:paraId="1B15BB5C" w14:textId="77777777" w:rsidTr="00FE3028">
        <w:trPr>
          <w:cantSplit/>
        </w:trPr>
        <w:tc>
          <w:tcPr>
            <w:tcW w:w="408" w:type="dxa"/>
            <w:vAlign w:val="center"/>
          </w:tcPr>
          <w:p w14:paraId="503DE1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14:paraId="710BB9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14:paraId="69EAA3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14:paraId="698E82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14:paraId="1B37C3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14:paraId="4563FA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14:paraId="278D91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14:paraId="7D1CAA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14:paraId="4FC966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7C5FE2D1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058D5C2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18300,00</w:t>
            </w:r>
          </w:p>
        </w:tc>
      </w:tr>
      <w:tr w:rsidR="00FA37B7" w:rsidRPr="00FA37B7" w14:paraId="37AB38D6" w14:textId="77777777" w:rsidTr="00FE3028">
        <w:trPr>
          <w:cantSplit/>
        </w:trPr>
        <w:tc>
          <w:tcPr>
            <w:tcW w:w="15614" w:type="dxa"/>
            <w:gridSpan w:val="11"/>
            <w:vAlign w:val="center"/>
          </w:tcPr>
          <w:p w14:paraId="2BC174D1" w14:textId="77777777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Content>
                <w:r w:rsidRPr="00FA37B7">
                  <w:rPr>
                    <w:lang w:eastAsia="zh-CN"/>
                  </w:rPr>
                  <w:t>18300,00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3EB04B7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sectPr w:rsidR="00FA37B7" w:rsidRPr="00FA37B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122E7"/>
    <w:rsid w:val="00226B4D"/>
    <w:rsid w:val="00622261"/>
    <w:rsid w:val="007C6C99"/>
    <w:rsid w:val="00B86847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61753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B119C0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1D4F0A"/>
    <w:rsid w:val="00226B4D"/>
    <w:rsid w:val="008256B7"/>
    <w:rsid w:val="00957818"/>
    <w:rsid w:val="00B119C0"/>
    <w:rsid w:val="00D0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442</Words>
  <Characters>2526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ctd1_petrojust@outlook.com</cp:lastModifiedBy>
  <cp:revision>4</cp:revision>
  <dcterms:created xsi:type="dcterms:W3CDTF">2024-05-21T07:43:00Z</dcterms:created>
  <dcterms:modified xsi:type="dcterms:W3CDTF">2024-06-18T13:29:00Z</dcterms:modified>
</cp:coreProperties>
</file>