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</w:pPr>
      <w:r/>
      <w:r/>
    </w:p>
    <w:p>
      <w:pPr>
        <w:ind w:firstLine="1701"/>
        <w:spacing w:after="0" w:line="240" w:lineRule="auto"/>
        <w:rPr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Описание объекта закупки в соответствии со статьей 33 Закона № 44-ФЗ.</w:t>
      </w:r>
      <w:r/>
    </w:p>
    <w:p>
      <w:pPr>
        <w:ind w:firstLine="170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/>
    </w:p>
    <w:tbl>
      <w:tblPr>
        <w:tblStyle w:val="701"/>
        <w:tblW w:w="15735" w:type="dxa"/>
        <w:tblInd w:w="-318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993"/>
        <w:gridCol w:w="1311"/>
        <w:gridCol w:w="815"/>
        <w:gridCol w:w="850"/>
        <w:gridCol w:w="1134"/>
        <w:gridCol w:w="1134"/>
        <w:gridCol w:w="652"/>
        <w:gridCol w:w="2183"/>
        <w:gridCol w:w="2835"/>
        <w:gridCol w:w="851"/>
        <w:gridCol w:w="850"/>
      </w:tblGrid>
      <w:tr>
        <w:trPr>
          <w:trHeight w:val="48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Наименование товара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ОКПД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Показатель (характеристика) товара</w:t>
            </w:r>
            <w:r/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3933" w:type="dxa"/>
            <w:vAlign w:val="center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Требования к значениям показателей</w:t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 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Единица измерения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Тип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  <w:lang w:eastAsia="ru-RU"/>
              </w:rPr>
              <w:t xml:space="preserve">Инструкция по заполнению характеристик в заявке</w:t>
            </w:r>
            <w:r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center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5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665" w:type="dxa"/>
            <w:vAlign w:val="center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Минимальное значение показателя и/или максимальное значение показателя</w:t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Показатели (характеристики), для которых указаны варианты значений</w:t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Показатели, (характеристики) значения которых не могут изменяться</w:t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6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center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Не менее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Не более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5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18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Шкурка шлифовальная (на тканевой  основе) Р80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23.91.12.120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Зернистость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рулон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/>
          </w:p>
        </w:tc>
      </w:tr>
      <w:tr>
        <w:trPr>
          <w:trHeight w:val="74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Ширина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Водостойкость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Отсутствие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Абразив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Оксид алюминия; Электрокорунд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1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Область применения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Используется для ручной сухой шлифовки неметаллических материалов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27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6456-82, 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52381-2005;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4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Шкурка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шлифовальная (на тканевой  основе) Р100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23.91.12.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Зернистость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Р100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рулон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</w:t>
            </w:r>
            <w:r/>
          </w:p>
        </w:tc>
      </w:tr>
      <w:tr>
        <w:trPr>
          <w:trHeight w:val="542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67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Ширина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90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Водостойкость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Отсутствие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8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Абразив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Оксид алюминия; Электрокорунд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26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Область применения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Используется для ручной сухой шлифовки неметаллических материалов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51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6456-82, 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52381-2005;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Брусок деревянный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50*50 мм.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-200 мм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16.10.10.119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20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Ширина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Толщина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Сорт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Отборный; 1; 2; 3; 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Древесина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Хвойных пород деревьев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Влажность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Естественная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Сухой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Антисептирование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Наличие; Отсутствие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5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8486-86, ГОСТ 24454-80;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76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Гвозди 1.8*32 (упаковка 200 штук)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25.93.14.111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 стержня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1,8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Материал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Форма стержня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Круглая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Без покрытия; Цинк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85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392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283-75, ГОСТ 4028-63;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Бумага копировальная (упаковка 50 штук)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17.23.11.110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листов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≥50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</w:t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Цветность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Фиолетовый; Синий; Черный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Формат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A4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96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489-88;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Вода дистиллированная 5 литров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11.07.11.111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 воды по назначению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дистиллированная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bottom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top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Объем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≥ 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bottom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Л; ДМ3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bottom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Степень минерализации воды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bottom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bottom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2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Степень газации воды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Негазированная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bottom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bottom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20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Упаковка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vAlign w:val="bottom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vAlign w:val="bottom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vAlign w:val="bottom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Align w:val="bottom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4,2*16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4,2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247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4,2*25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4,2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3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4,2*32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4,2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3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3,5*25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3,5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3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3,5*35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3,5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3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Саморез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с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прессшайбой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3,5*51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25.94.11.110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Назначение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Для крепежа металлических, деревянных, гипсокартонных и прочих элементов к металлическим основаниям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Тип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"Клоп"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51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3,5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Шлиц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PH2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Головка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Полусферическая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Наконечник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Острый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Металл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Цинковое;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Фосфатирование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; Оксидирование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Резьба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Полная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Прессшайба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Наличие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33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1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Р</w:t>
            </w: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 59571-2021;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76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Гвозди 3*70 </w:t>
            </w: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(упаковка 200 штук)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25.93.14.111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Длина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restart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упак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1</w:t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Диаметр стержня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2,5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Количественная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Материал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Сталь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Форма стержня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Круглая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Покрытие гвоздя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Без покрытия; Цинк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Количество в упаковке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200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ШТ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Количественная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Значение характеристики не может изменяться участником закупки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  <w:tr>
        <w:trPr>
          <w:trHeight w:val="1411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311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Соответствие нормативно-технической документации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15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0" w:type="dxa"/>
            <w:textDirection w:val="lrTb"/>
            <w:noWrap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ГОСТ 283-75, ГОСТ 4028-63; ТУ производителя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134" w:type="dxa"/>
            <w:textDirection w:val="lrTb"/>
            <w:noWrap w:val="false"/>
          </w:tcPr>
          <w:p>
            <w:pPr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 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652" w:type="dxa"/>
            <w:textDirection w:val="lrTb"/>
            <w:noWrap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  <w:t xml:space="preserve">-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18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Качественная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2835" w:type="dxa"/>
            <w:textDirection w:val="lrTb"/>
            <w:noWrap/>
          </w:tcPr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Участник закупки указывает в заявке конкретное значение характеристики</w:t>
            </w:r>
            <w:r/>
          </w:p>
          <w:p>
            <w:pP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18"/>
                <w:szCs w:val="18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851" w:type="dxa"/>
            <w:vMerge w:val="continue"/>
            <w:textDirection w:val="lrTb"/>
            <w:noWrap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/>
          </w:p>
        </w:tc>
      </w:tr>
    </w:tbl>
    <w:p>
      <w:pPr>
        <w:ind w:firstLine="1701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 w:cs="Times New Roman"/>
          <w:sz w:val="24"/>
          <w:szCs w:val="24"/>
          <w:lang w:eastAsia="ru-RU" w:bidi="ru-RU"/>
        </w:rPr>
        <w:t xml:space="preserve">Товар, являющийся объектом закупки, поставляется в полном объеме в соответствии с расчетом начальной (максимальной) цены контракта, являющимися неотъемлемой частью информации о закупке.</w:t>
      </w:r>
      <w:r/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widowControl w:val="off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Место поставки: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196628,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г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.С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анкт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-Петербург, п.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Шушары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ул. 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Изборская</w:t>
      </w:r>
      <w:r>
        <w:rPr>
          <w:rFonts w:ascii="Times New Roman" w:hAnsi="Times New Roman" w:eastAsia="Times New Roman" w:cs="Times New Roman"/>
          <w:bCs/>
          <w:sz w:val="24"/>
          <w:szCs w:val="24"/>
        </w:rPr>
        <w:t xml:space="preserve">, д.4, корп.2</w:t>
      </w:r>
      <w:r>
        <w:rPr>
          <w:rFonts w:ascii="Times New Roman" w:hAnsi="Times New Roman" w:cs="Times New Roman"/>
          <w:sz w:val="24"/>
          <w:szCs w:val="24"/>
        </w:rPr>
        <w:t xml:space="preserve"> (далее – место доставки).</w:t>
      </w:r>
      <w:r/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widowControl w:val="off"/>
      </w:pPr>
      <w:r>
        <w:rPr>
          <w:rFonts w:ascii="Times New Roman" w:hAnsi="Times New Roman" w:eastAsia="Calibri" w:cs="Times New Roman"/>
          <w:sz w:val="24"/>
          <w:szCs w:val="24"/>
        </w:rPr>
        <w:t xml:space="preserve">Условия поставки: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 даты заключения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не позднее 30 (тридцати) рабочих дней с даты заключения контракта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/>
    </w:p>
    <w:p>
      <w:pPr>
        <w:contextualSpacing/>
        <w:ind w:firstLine="709"/>
        <w:jc w:val="both"/>
        <w:spacing w:after="0" w:line="240" w:lineRule="auto"/>
        <w:widowControl w:val="off"/>
      </w:pPr>
      <w:r>
        <w:rPr>
          <w:rFonts w:ascii="Times New Roman" w:hAnsi="Times New Roman" w:cs="Times New Roman"/>
          <w:sz w:val="24"/>
          <w:szCs w:val="24"/>
        </w:rPr>
        <w:t xml:space="preserve">Поставка товара осуществляется в рабочее время Заказчика: с 9.00 до 16.00 часов, по  предварительному согласованию времени поставки с Заказчиком по телефону (812) 246-63-65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/>
    </w:p>
    <w:p>
      <w:pPr>
        <w:numPr>
          <w:ilvl w:val="0"/>
          <w:numId w:val="2"/>
        </w:numPr>
        <w:contextualSpacing/>
        <w:ind w:left="0" w:firstLine="709"/>
        <w:jc w:val="both"/>
        <w:spacing w:after="0" w:line="240" w:lineRule="auto"/>
        <w:widowControl w:val="off"/>
      </w:pPr>
      <w:r>
        <w:rPr>
          <w:rFonts w:ascii="Times New Roman" w:hAnsi="Times New Roman" w:eastAsia="Calibri" w:cs="Times New Roman"/>
          <w:spacing w:val="-2"/>
          <w:sz w:val="24"/>
          <w:szCs w:val="24"/>
        </w:rPr>
        <w:t xml:space="preserve">Поставщик за счет собственных средств осуществляет поставку и выгрузку товара согласно спецификации, непосредственно в помещение, указанное Заказчиком</w:t>
      </w:r>
      <w:r>
        <w:rPr>
          <w:rFonts w:ascii="Times New Roman" w:hAnsi="Times New Roman" w:eastAsia="Calibri" w:cs="Times New Roman"/>
          <w:sz w:val="24"/>
          <w:szCs w:val="24"/>
        </w:rPr>
        <w:t xml:space="preserve">.</w:t>
      </w:r>
      <w:r/>
    </w:p>
    <w:p>
      <w:pPr>
        <w:contextualSpacing/>
        <w:ind w:firstLine="709"/>
        <w:jc w:val="both"/>
        <w:spacing w:after="0" w:line="240" w:lineRule="auto"/>
      </w:pP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 5. Поставляемый товар должен быть безопасным для жизни, здоровья людей, имущества Заказчика и окруж</w:t>
      </w:r>
      <w:r>
        <w:rPr>
          <w:rFonts w:ascii="Times New Roman" w:hAnsi="Times New Roman" w:eastAsia="Calibri" w:cs="Times New Roman"/>
          <w:color w:val="000000"/>
          <w:sz w:val="24"/>
          <w:szCs w:val="24"/>
        </w:rPr>
        <w:t xml:space="preserve">ающей среды при обычных условиях его использования, хранения и транспортировки в соответствии с Законами Российской Федерации от 07.02.1992 №2300-1 «О защите прав потребителей» и от 30.03.1999 №52-ФЗ «О санитарно-эпидемиологическом благополучии населения».</w:t>
      </w:r>
      <w:r/>
    </w:p>
    <w:p>
      <w:pPr>
        <w:pStyle w:val="847"/>
        <w:contextualSpacing/>
        <w:ind w:firstLine="709"/>
        <w:jc w:val="both"/>
      </w:pPr>
      <w:r>
        <w:rPr>
          <w:rFonts w:eastAsia="Calibri"/>
        </w:rPr>
        <w:t xml:space="preserve">6. </w:t>
      </w:r>
      <w:r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  <w:r/>
    </w:p>
    <w:p>
      <w:pPr>
        <w:pStyle w:val="847"/>
        <w:contextualSpacing/>
        <w:ind w:firstLine="709"/>
        <w:jc w:val="both"/>
      </w:pPr>
      <w:r>
        <w:t xml:space="preserve"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  <w:r/>
    </w:p>
    <w:p>
      <w:pPr>
        <w:pStyle w:val="847"/>
        <w:contextualSpacing/>
        <w:ind w:firstLine="709"/>
        <w:jc w:val="both"/>
      </w:pPr>
      <w:r>
        <w:t xml:space="preserve">7.</w:t>
      </w:r>
      <w:r>
        <w:rPr>
          <w:rFonts w:eastAsia="Times New Roman"/>
        </w:rPr>
        <w:t xml:space="preserve">При осуществлении поставки Поставщик должен предоставить заказчику надлежащим образом оформленные сопроводительные документы, подтверждающие качество и безопасность товара.</w:t>
      </w:r>
      <w:r/>
    </w:p>
    <w:p>
      <w:pPr>
        <w:contextualSpacing/>
        <w:ind w:firstLine="709"/>
        <w:jc w:val="both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8. Право собственности на товар переходит к Заказчику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 даты приемки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товара Заказчиком. Приемка товара по количеству и качеству, осуществляется в соответствии с действующим законодательством РФ. </w:t>
      </w:r>
      <w:r/>
    </w:p>
    <w:p>
      <w:pPr>
        <w:ind w:firstLine="709"/>
        <w:jc w:val="both"/>
        <w:spacing w:after="0" w:line="240" w:lineRule="auto"/>
      </w:pPr>
      <w:r>
        <w:rPr>
          <w:rFonts w:ascii="Times New Roman" w:hAnsi="Times New Roman" w:cs="Times New Roman"/>
          <w:sz w:val="24"/>
          <w:szCs w:val="24"/>
        </w:rPr>
        <w:t xml:space="preserve">9.</w:t>
      </w:r>
      <w:r>
        <w:rPr>
          <w:rFonts w:ascii="PT Astra Serif" w:hAnsi="PT Astra Serif" w:cs="Times New Roman"/>
          <w:bCs/>
          <w:sz w:val="24"/>
          <w:szCs w:val="24"/>
          <w:u w:val="single"/>
        </w:rPr>
        <w:t xml:space="preserve">Разъяснение понятий, которые могут применяться заказчиком при указании максимальных и (или) минимальных значений показателей товара: 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«Не более» – означает меньше установленного значения и включает крайнее максимальное значение;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«Не менее» – означает больше установленного значения и включает крайнее минимальное значение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  <w:u w:val="single"/>
        </w:rPr>
        <w:t xml:space="preserve">Разъяснение знаков, которые могут применяться заказчиком при указании значений показателей товара: 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«&lt;» – означает менее установленного значения и не включает крайнее максимальное значение;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«&gt;» – означает более установленного значения и не включает крайнее минимальное значение;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«≥» – означает больше установленного значения и включает крайнее минимальное значение;</w:t>
      </w:r>
      <w:r/>
    </w:p>
    <w:p>
      <w:pPr>
        <w:ind w:firstLine="709"/>
        <w:jc w:val="both"/>
        <w:spacing w:after="0" w:line="240" w:lineRule="auto"/>
      </w:pPr>
      <w:r>
        <w:rPr>
          <w:rFonts w:ascii="PT Astra Serif" w:hAnsi="PT Astra Serif" w:cs="Times New Roman"/>
          <w:bCs/>
          <w:sz w:val="24"/>
          <w:szCs w:val="24"/>
        </w:rPr>
        <w:t xml:space="preserve">«≤» – означает меньше установленного значения и включает крайнее максимальное значение;</w:t>
      </w:r>
      <w:r/>
    </w:p>
    <w:p>
      <w:pPr>
        <w:ind w:firstLine="567"/>
        <w:jc w:val="both"/>
        <w:spacing w:after="0" w:line="240" w:lineRule="auto"/>
      </w:pPr>
      <w:r>
        <w:rPr>
          <w:rFonts w:ascii="Times New Roman" w:hAnsi="Times New Roman" w:cs="Times New Roman"/>
        </w:rPr>
        <w:t xml:space="preserve"> 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  <w:r/>
    </w:p>
    <w:p>
      <w:pPr>
        <w:contextualSpacing/>
        <w:ind w:left="709"/>
        <w:jc w:val="both"/>
        <w:spacing w:after="0" w:line="240" w:lineRule="auto"/>
        <w:widowControl w:val="off"/>
        <w:rPr>
          <w:rFonts w:ascii="Times New Roman" w:hAnsi="Times New Roman" w:eastAsia="Calibri" w:cs="Times New Roman"/>
          <w:color w:val="000000"/>
        </w:rPr>
      </w:pPr>
      <w:r>
        <w:rPr>
          <w:rFonts w:ascii="Times New Roman" w:hAnsi="Times New Roman" w:cs="Times New Roman"/>
        </w:rPr>
        <w:t xml:space="preserve">Заявка на участие в закупке, а также все документы, входящие в состав заявки, должны быть составлены на русском языке</w:t>
      </w:r>
      <w:r/>
    </w:p>
    <w:p>
      <w:pPr>
        <w:spacing w:after="0" w:line="240" w:lineRule="auto"/>
      </w:pPr>
      <w:r/>
      <w:r/>
    </w:p>
    <w:sectPr>
      <w:footerReference w:type="default" r:id="rId9"/>
      <w:footnotePr/>
      <w:endnotePr/>
      <w:type w:val="nextPage"/>
      <w:pgSz w:w="16838" w:h="11906" w:orient="landscape"/>
      <w:pgMar w:top="567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0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1882" w:hanging="720"/>
        <w:tabs>
          <w:tab w:val="num" w:pos="0" w:leader="none"/>
        </w:tabs>
      </w:pPr>
    </w:lvl>
    <w:lvl w:ilvl="3">
      <w:start w:val="1"/>
      <w:numFmt w:val="decimalZero"/>
      <w:isLgl w:val="false"/>
      <w:suff w:val="tab"/>
      <w:lvlText w:val="%1.%2.%3.%4"/>
      <w:lvlJc w:val="left"/>
      <w:pPr>
        <w:ind w:left="2193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64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175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846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4157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28" w:hanging="180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  <w:tabs>
          <w:tab w:val="num" w:pos="0" w:leader="none"/>
        </w:tabs>
      </w:pPr>
      <w:rPr>
        <w:b w:val="0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  <w:tabs>
          <w:tab w:val="num" w:pos="0" w:leader="none"/>
        </w:tabs>
      </w:pPr>
    </w:lvl>
    <w:lvl w:ilvl="2">
      <w:start w:val="1"/>
      <w:numFmt w:val="decimal"/>
      <w:isLgl w:val="false"/>
      <w:suff w:val="tab"/>
      <w:lvlText w:val="%1.%2.%3"/>
      <w:lvlJc w:val="left"/>
      <w:pPr>
        <w:ind w:left="1882" w:hanging="720"/>
        <w:tabs>
          <w:tab w:val="num" w:pos="0" w:leader="none"/>
        </w:tabs>
      </w:pPr>
    </w:lvl>
    <w:lvl w:ilvl="3">
      <w:start w:val="1"/>
      <w:numFmt w:val="decimalZero"/>
      <w:isLgl w:val="false"/>
      <w:suff w:val="tab"/>
      <w:lvlText w:val="%1.%2.%3.%4"/>
      <w:lvlJc w:val="left"/>
      <w:pPr>
        <w:ind w:left="2193" w:hanging="720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2864" w:hanging="1080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3175" w:hanging="10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3846" w:hanging="144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4157" w:hanging="1440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4828" w:hanging="1800"/>
        <w:tabs>
          <w:tab w:val="num" w:pos="0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7"/>
    <w:uiPriority w:val="10"/>
    <w:rPr>
      <w:sz w:val="48"/>
      <w:szCs w:val="48"/>
    </w:rPr>
  </w:style>
  <w:style w:type="character" w:styleId="658">
    <w:name w:val="Subtitle Char"/>
    <w:basedOn w:val="675"/>
    <w:link w:val="689"/>
    <w:uiPriority w:val="11"/>
    <w:rPr>
      <w:sz w:val="24"/>
      <w:szCs w:val="24"/>
    </w:rPr>
  </w:style>
  <w:style w:type="character" w:styleId="659">
    <w:name w:val="Quote Char"/>
    <w:link w:val="691"/>
    <w:uiPriority w:val="29"/>
    <w:rPr>
      <w:i/>
    </w:rPr>
  </w:style>
  <w:style w:type="character" w:styleId="660">
    <w:name w:val="Intense Quote Char"/>
    <w:link w:val="693"/>
    <w:uiPriority w:val="30"/>
    <w:rPr>
      <w:i/>
    </w:rPr>
  </w:style>
  <w:style w:type="character" w:styleId="661">
    <w:name w:val="Header Char"/>
    <w:basedOn w:val="675"/>
    <w:link w:val="695"/>
    <w:uiPriority w:val="99"/>
  </w:style>
  <w:style w:type="character" w:styleId="662">
    <w:name w:val="Caption Char"/>
    <w:basedOn w:val="699"/>
    <w:link w:val="697"/>
    <w:uiPriority w:val="99"/>
  </w:style>
  <w:style w:type="character" w:styleId="663">
    <w:name w:val="Footnote Text Char"/>
    <w:link w:val="828"/>
    <w:uiPriority w:val="99"/>
    <w:rPr>
      <w:sz w:val="18"/>
    </w:rPr>
  </w:style>
  <w:style w:type="character" w:styleId="664">
    <w:name w:val="Endnote Text Char"/>
    <w:link w:val="831"/>
    <w:uiPriority w:val="99"/>
    <w:rPr>
      <w:sz w:val="20"/>
    </w:rPr>
  </w:style>
  <w:style w:type="paragraph" w:styleId="665" w:default="1">
    <w:name w:val="Normal"/>
    <w:qFormat/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Title"/>
    <w:basedOn w:val="665"/>
    <w:next w:val="665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link w:val="687"/>
    <w:uiPriority w:val="10"/>
    <w:rPr>
      <w:sz w:val="48"/>
      <w:szCs w:val="48"/>
    </w:rPr>
  </w:style>
  <w:style w:type="paragraph" w:styleId="689">
    <w:name w:val="Subtitle"/>
    <w:basedOn w:val="665"/>
    <w:next w:val="665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link w:val="689"/>
    <w:uiPriority w:val="11"/>
    <w:rPr>
      <w:sz w:val="24"/>
      <w:szCs w:val="24"/>
    </w:rPr>
  </w:style>
  <w:style w:type="paragraph" w:styleId="691">
    <w:name w:val="Quote"/>
    <w:basedOn w:val="665"/>
    <w:next w:val="665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5"/>
    <w:next w:val="665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5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link w:val="695"/>
    <w:uiPriority w:val="99"/>
  </w:style>
  <w:style w:type="paragraph" w:styleId="697">
    <w:name w:val="Footer"/>
    <w:basedOn w:val="665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uiPriority w:val="99"/>
  </w:style>
  <w:style w:type="paragraph" w:styleId="699">
    <w:name w:val="Caption"/>
    <w:basedOn w:val="665"/>
    <w:next w:val="665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>
    <w:name w:val="Table Grid"/>
    <w:basedOn w:val="67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3" w:customStyle="1">
    <w:name w:val="Plain Table 1"/>
    <w:basedOn w:val="67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 w:customStyle="1">
    <w:name w:val="Plain Table 2"/>
    <w:basedOn w:val="67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 w:customStyle="1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 w:customStyle="1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 w:customStyle="1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36" w:customStyle="1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0" w:customStyle="1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1" w:customStyle="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5B9BD5" w:themeColor="accent1" w:sz="4" w:space="0"/>
        <w:bottom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4B184" w:themeColor="accent2" w:themeTint="97" w:sz="4" w:space="0"/>
        <w:bottom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9C9C9" w:themeColor="accent3" w:themeTint="98" w:sz="4" w:space="0"/>
        <w:bottom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D865" w:themeColor="accent4" w:themeTint="9A" w:sz="4" w:space="0"/>
        <w:bottom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8DA9DB" w:themeColor="accent5" w:themeTint="9A" w:sz="4" w:space="0"/>
        <w:bottom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9D08E" w:themeColor="accent6" w:themeTint="98" w:sz="4" w:space="0"/>
        <w:bottom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99" w:customStyle="1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5B9BD5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4B184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9C9C9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FD865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8DA9DB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A9D08E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27">
    <w:name w:val="Hyperlink"/>
    <w:uiPriority w:val="99"/>
    <w:unhideWhenUsed/>
    <w:rPr>
      <w:color w:val="0563c1" w:themeColor="hyperlink"/>
      <w:u w:val="single"/>
    </w:rPr>
  </w:style>
  <w:style w:type="paragraph" w:styleId="828">
    <w:name w:val="footnote text"/>
    <w:basedOn w:val="665"/>
    <w:link w:val="829"/>
    <w:uiPriority w:val="99"/>
    <w:semiHidden/>
    <w:unhideWhenUsed/>
    <w:pPr>
      <w:spacing w:after="40" w:line="240" w:lineRule="auto"/>
    </w:pPr>
    <w:rPr>
      <w:sz w:val="18"/>
    </w:rPr>
  </w:style>
  <w:style w:type="character" w:styleId="829" w:customStyle="1">
    <w:name w:val="Текст сноски Знак"/>
    <w:link w:val="828"/>
    <w:uiPriority w:val="99"/>
    <w:rPr>
      <w:sz w:val="18"/>
    </w:rPr>
  </w:style>
  <w:style w:type="character" w:styleId="830">
    <w:name w:val="footnote reference"/>
    <w:uiPriority w:val="99"/>
    <w:unhideWhenUsed/>
    <w:rPr>
      <w:vertAlign w:val="superscript"/>
    </w:rPr>
  </w:style>
  <w:style w:type="paragraph" w:styleId="831">
    <w:name w:val="endnote text"/>
    <w:basedOn w:val="665"/>
    <w:link w:val="832"/>
    <w:uiPriority w:val="99"/>
    <w:semiHidden/>
    <w:unhideWhenUsed/>
    <w:pPr>
      <w:spacing w:after="0" w:line="240" w:lineRule="auto"/>
    </w:pPr>
    <w:rPr>
      <w:sz w:val="20"/>
    </w:rPr>
  </w:style>
  <w:style w:type="character" w:styleId="832" w:customStyle="1">
    <w:name w:val="Текст концевой сноски Знак"/>
    <w:link w:val="831"/>
    <w:uiPriority w:val="99"/>
    <w:rPr>
      <w:sz w:val="20"/>
    </w:rPr>
  </w:style>
  <w:style w:type="character" w:styleId="833">
    <w:name w:val="endnote reference"/>
    <w:uiPriority w:val="99"/>
    <w:semiHidden/>
    <w:unhideWhenUsed/>
    <w:rPr>
      <w:vertAlign w:val="superscript"/>
    </w:rPr>
  </w:style>
  <w:style w:type="paragraph" w:styleId="834">
    <w:name w:val="toc 1"/>
    <w:basedOn w:val="665"/>
    <w:next w:val="665"/>
    <w:uiPriority w:val="39"/>
    <w:unhideWhenUsed/>
    <w:pPr>
      <w:spacing w:after="57"/>
    </w:pPr>
  </w:style>
  <w:style w:type="paragraph" w:styleId="835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6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7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8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9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40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1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2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3">
    <w:name w:val="TOC Heading"/>
    <w:uiPriority w:val="39"/>
    <w:unhideWhenUsed/>
  </w:style>
  <w:style w:type="paragraph" w:styleId="844">
    <w:name w:val="table of figures"/>
    <w:basedOn w:val="665"/>
    <w:next w:val="665"/>
    <w:uiPriority w:val="99"/>
    <w:unhideWhenUsed/>
    <w:pPr>
      <w:spacing w:after="0"/>
    </w:pPr>
  </w:style>
  <w:style w:type="paragraph" w:styleId="845">
    <w:name w:val="No Spacing"/>
    <w:basedOn w:val="665"/>
    <w:uiPriority w:val="1"/>
    <w:qFormat/>
    <w:pPr>
      <w:spacing w:after="0" w:line="240" w:lineRule="auto"/>
    </w:p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paragraph" w:styleId="847" w:customStyle="1">
    <w:name w:val="ConsPlusNormal"/>
    <w:qFormat/>
    <w:pPr>
      <w:spacing w:after="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Times New Roman" w:hAnsi="Times New Roman" w:cs="Times New Roman" w:eastAsiaTheme="minorEastAsia"/>
      <w:sz w:val="24"/>
      <w:szCs w:val="24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</cp:revision>
  <dcterms:created xsi:type="dcterms:W3CDTF">2024-06-11T12:15:00Z</dcterms:created>
  <dcterms:modified xsi:type="dcterms:W3CDTF">2024-06-14T13:41:17Z</dcterms:modified>
</cp:coreProperties>
</file>