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379659">
      <w:pPr>
        <w:shd w:val="clear" w:color="auto" w:fill="FFFFFF"/>
        <w:jc w:val="center"/>
        <w:rPr>
          <w:spacing w:val="2"/>
        </w:rPr>
      </w:pPr>
      <w:r>
        <w:rPr>
          <w:spacing w:val="2"/>
        </w:rPr>
        <w:t>Контракт № 24-010</w:t>
      </w:r>
    </w:p>
    <w:p w14:paraId="1E17D9AB">
      <w:pPr>
        <w:jc w:val="center"/>
        <w:rPr>
          <w:rFonts w:eastAsia="Calibri"/>
        </w:rPr>
      </w:pPr>
      <w:r>
        <w:t>Оказание услуг по отбору проб и лабораторным испытаниям концентрированного моющего (чистящего) средства для дорожных покрытий и элементов дорожного хозяйства (шампуня)</w:t>
      </w:r>
    </w:p>
    <w:p w14:paraId="2B44CD9D">
      <w:pPr>
        <w:jc w:val="center"/>
      </w:pPr>
    </w:p>
    <w:p w14:paraId="37BAF50B">
      <w:pPr>
        <w:shd w:val="clear" w:color="auto" w:fill="FFFFFF"/>
      </w:pPr>
      <w:r>
        <w:rPr>
          <w:spacing w:val="-7"/>
        </w:rPr>
        <w:t>г. Санкт-Петербург</w:t>
      </w:r>
      <w:r>
        <w:t xml:space="preserve">                                                                                        " _____ " ___ </w:t>
      </w:r>
      <w:r>
        <w:rPr>
          <w:spacing w:val="-6"/>
        </w:rPr>
        <w:t>2024 г.</w:t>
      </w:r>
    </w:p>
    <w:p w14:paraId="5E9C9599">
      <w:pPr>
        <w:pStyle w:val="17"/>
        <w:shd w:val="clear" w:color="auto" w:fill="FFFFFF"/>
        <w:ind w:left="0" w:firstLine="709"/>
        <w:jc w:val="both"/>
        <w:rPr>
          <w:sz w:val="24"/>
          <w:szCs w:val="24"/>
        </w:rPr>
      </w:pPr>
    </w:p>
    <w:p w14:paraId="40F58895">
      <w:pPr>
        <w:pStyle w:val="17"/>
        <w:shd w:val="clear" w:color="auto" w:fill="FFFFFF"/>
        <w:ind w:left="0" w:firstLine="709"/>
        <w:jc w:val="both"/>
        <w:rPr>
          <w:color w:val="000000"/>
          <w:sz w:val="24"/>
          <w:szCs w:val="24"/>
        </w:rPr>
      </w:pPr>
      <w:r>
        <w:rPr>
          <w:rFonts w:hint="default"/>
          <w:sz w:val="24"/>
          <w:szCs w:val="24"/>
          <w:lang w:val="ru-RU"/>
        </w:rPr>
        <w:t>__________</w:t>
      </w:r>
      <w:r>
        <w:rPr>
          <w:sz w:val="24"/>
          <w:szCs w:val="24"/>
        </w:rPr>
        <w:t xml:space="preserve">, именуемое в дальнейшем «Исполнитель», в лице </w:t>
      </w:r>
      <w:r>
        <w:rPr>
          <w:rFonts w:hint="default"/>
          <w:sz w:val="24"/>
          <w:szCs w:val="24"/>
          <w:lang w:val="ru-RU"/>
        </w:rPr>
        <w:t>_______________________</w:t>
      </w:r>
      <w:r>
        <w:rPr>
          <w:sz w:val="24"/>
          <w:szCs w:val="24"/>
        </w:rPr>
        <w:t xml:space="preserve">, действующего на основании Устава, </w:t>
      </w:r>
      <w:r>
        <w:rPr>
          <w:sz w:val="24"/>
          <w:szCs w:val="24"/>
        </w:rPr>
        <w:br w:type="textWrapping"/>
      </w:r>
      <w:r>
        <w:rPr>
          <w:sz w:val="24"/>
          <w:szCs w:val="24"/>
        </w:rPr>
        <w:t>с одной стороны,</w:t>
      </w:r>
      <w:r>
        <w:rPr>
          <w:color w:val="000000"/>
          <w:sz w:val="24"/>
          <w:szCs w:val="24"/>
        </w:rPr>
        <w:t xml:space="preserve"> и Санкт-Петербургское государственное бюджетное учреждение  «Юго-западное управление региональных дорог и благоустройства (далее - СПб ГБУ «Юго-западное управление региональных дорог и благоустройства») </w:t>
      </w:r>
      <w:r>
        <w:rPr>
          <w:sz w:val="24"/>
          <w:szCs w:val="24"/>
        </w:rPr>
        <w:t>в лице</w:t>
      </w:r>
      <w:r>
        <w:rPr>
          <w:color w:val="000000"/>
          <w:spacing w:val="2"/>
          <w:sz w:val="24"/>
          <w:szCs w:val="24"/>
        </w:rPr>
        <w:t xml:space="preserve"> директора </w:t>
      </w:r>
      <w:r>
        <w:rPr>
          <w:color w:val="000000"/>
          <w:spacing w:val="2"/>
          <w:sz w:val="24"/>
          <w:szCs w:val="24"/>
        </w:rPr>
        <w:br w:type="textWrapping"/>
      </w:r>
      <w:r>
        <w:rPr>
          <w:color w:val="000000"/>
          <w:spacing w:val="2"/>
          <w:sz w:val="24"/>
          <w:szCs w:val="24"/>
        </w:rPr>
        <w:t>Игнатенко Альберта Анатольевича</w:t>
      </w:r>
      <w:r>
        <w:rPr>
          <w:color w:val="000000"/>
          <w:sz w:val="24"/>
          <w:szCs w:val="24"/>
        </w:rPr>
        <w:t xml:space="preserve">, действующего на основании Устава, именуемый </w:t>
      </w:r>
      <w:r>
        <w:rPr>
          <w:color w:val="000000"/>
          <w:sz w:val="24"/>
          <w:szCs w:val="24"/>
        </w:rPr>
        <w:br w:type="textWrapping"/>
      </w:r>
      <w:r>
        <w:rPr>
          <w:color w:val="000000"/>
          <w:sz w:val="24"/>
          <w:szCs w:val="24"/>
        </w:rPr>
        <w:t>в дальнейшем «Заказчик»</w:t>
      </w:r>
      <w:r>
        <w:rPr>
          <w:sz w:val="24"/>
          <w:szCs w:val="24"/>
        </w:rPr>
        <w:t xml:space="preserve">, с другой стороны, совместно именуемые в дальнейшем «Стороны», руководствуясь Федеральным законом от 05.04.2013 г. № 44-ФЗ </w:t>
      </w:r>
      <w:r>
        <w:rPr>
          <w:sz w:val="24"/>
          <w:szCs w:val="24"/>
        </w:rPr>
        <w:br w:type="textWrapping"/>
      </w:r>
      <w:r>
        <w:rPr>
          <w:sz w:val="24"/>
          <w:szCs w:val="24"/>
        </w:rPr>
        <w:t xml:space="preserve">«О контрактной системе в сфере закупок товаров, работ, услуг для обеспечения государственных и муниципальных нужд», заключили настоящий Контракт </w:t>
      </w:r>
      <w:r>
        <w:rPr>
          <w:sz w:val="24"/>
          <w:szCs w:val="24"/>
        </w:rPr>
        <w:br w:type="textWrapping"/>
      </w:r>
      <w:r>
        <w:rPr>
          <w:sz w:val="24"/>
          <w:szCs w:val="24"/>
        </w:rPr>
        <w:t>о нижеследующем:</w:t>
      </w:r>
    </w:p>
    <w:p w14:paraId="5EB23072">
      <w:pPr>
        <w:shd w:val="clear" w:color="auto" w:fill="FFFFFF"/>
        <w:ind w:firstLine="709"/>
        <w:jc w:val="both"/>
      </w:pPr>
    </w:p>
    <w:p w14:paraId="2E532FD3">
      <w:pPr>
        <w:widowControl w:val="0"/>
        <w:jc w:val="center"/>
        <w:rPr>
          <w:b/>
          <w:bCs/>
        </w:rPr>
      </w:pPr>
      <w:r>
        <w:rPr>
          <w:b/>
          <w:bCs/>
        </w:rPr>
        <w:t>1. ПРЕДМЕТ КОНТРАКТА</w:t>
      </w:r>
    </w:p>
    <w:p w14:paraId="083A9884">
      <w:pPr>
        <w:ind w:firstLine="709"/>
        <w:jc w:val="both"/>
      </w:pPr>
      <w:r>
        <w:t xml:space="preserve">1.1. </w:t>
      </w:r>
      <w:r>
        <w:rPr>
          <w:spacing w:val="1"/>
        </w:rPr>
        <w:t xml:space="preserve">В соответствии с настоящим Контрактом Исполнитель обязуется в порядке </w:t>
      </w:r>
      <w:r>
        <w:rPr>
          <w:spacing w:val="1"/>
        </w:rPr>
        <w:br w:type="textWrapping"/>
      </w:r>
      <w:r>
        <w:rPr>
          <w:spacing w:val="1"/>
        </w:rPr>
        <w:t xml:space="preserve">и сроки, предусмотренные настоящим Контрактом </w:t>
      </w:r>
      <w:r>
        <w:t xml:space="preserve">оказать </w:t>
      </w:r>
      <w:r>
        <w:rPr>
          <w:spacing w:val="-7"/>
        </w:rPr>
        <w:t xml:space="preserve">услуги </w:t>
      </w:r>
      <w:r>
        <w:t xml:space="preserve">по сбору и обработке информации, услуг по организации предоставления от имени Заказчика </w:t>
      </w:r>
      <w:r>
        <w:br w:type="textWrapping"/>
      </w:r>
      <w:r>
        <w:t>в испытательную лабораторию документов и образцов продукции «концентрированного моющего (чистящего) средства для дорожных покрытий и элементов дорожного хозяйства (шампуня)» (далее – Продукция) для проведения испытаний; получения документов по результатам проведения испытаний лабораторией, выполнение иных фактических и юридических действий, необходимых для оказания услуг в рамках Договора (далее – Услуга), а Заказчик обязуется оплатить их на условиях и в порядке, предусмотренных Договором.</w:t>
      </w:r>
    </w:p>
    <w:p w14:paraId="79773221">
      <w:pPr>
        <w:ind w:firstLine="709"/>
        <w:jc w:val="both"/>
        <w:rPr>
          <w:spacing w:val="1"/>
        </w:rPr>
      </w:pPr>
      <w:r>
        <w:rPr>
          <w:spacing w:val="1"/>
        </w:rPr>
        <w:t>1.2. Х</w:t>
      </w:r>
      <w:r>
        <w:t xml:space="preserve">арактеристика, объем, цена и </w:t>
      </w:r>
      <w:r>
        <w:rPr>
          <w:spacing w:val="1"/>
        </w:rPr>
        <w:t>требования к оказываемой Исполнителем услуги, определены в Спецификации (Приложение №1), являющейся неотъемлемой частью настоящего Контракта.</w:t>
      </w:r>
    </w:p>
    <w:p w14:paraId="72287D6F">
      <w:pPr>
        <w:widowControl w:val="0"/>
        <w:autoSpaceDE w:val="0"/>
        <w:ind w:firstLine="709"/>
        <w:jc w:val="both"/>
        <w:rPr>
          <w:spacing w:val="1"/>
        </w:rPr>
      </w:pPr>
      <w:r>
        <w:t>1.3. ИКЗ: 242780581449278050100101040000000244</w:t>
      </w:r>
    </w:p>
    <w:p w14:paraId="051EC9B4">
      <w:pPr>
        <w:widowControl w:val="0"/>
        <w:autoSpaceDE w:val="0"/>
        <w:ind w:firstLine="709"/>
        <w:jc w:val="both"/>
      </w:pPr>
    </w:p>
    <w:p w14:paraId="22E32B19">
      <w:pPr>
        <w:widowControl w:val="0"/>
        <w:autoSpaceDE w:val="0"/>
        <w:jc w:val="center"/>
        <w:rPr>
          <w:b/>
        </w:rPr>
      </w:pPr>
      <w:r>
        <w:rPr>
          <w:b/>
        </w:rPr>
        <w:t>2. ЦЕНА КОНТРАКТА. УСЛОВИЯ И ПОРЯДОК РАСЧЕТОВ</w:t>
      </w:r>
    </w:p>
    <w:p w14:paraId="6517688D">
      <w:pPr>
        <w:ind w:right="33" w:firstLine="709"/>
        <w:jc w:val="both"/>
        <w:rPr>
          <w:rFonts w:hint="default"/>
          <w:i/>
          <w:lang w:val="ru-RU"/>
        </w:rPr>
      </w:pPr>
      <w:r>
        <w:t xml:space="preserve">2.1. Цена Контракта составляет </w:t>
      </w:r>
      <w:r>
        <w:rPr>
          <w:rFonts w:hint="default"/>
          <w:lang w:val="ru-RU"/>
        </w:rPr>
        <w:t>__________</w:t>
      </w:r>
      <w:r>
        <w:t xml:space="preserve"> (</w:t>
      </w:r>
      <w:r>
        <w:rPr>
          <w:rFonts w:hint="default"/>
          <w:lang w:val="ru-RU"/>
        </w:rPr>
        <w:t>__________</w:t>
      </w:r>
      <w:r>
        <w:t xml:space="preserve">) рублей </w:t>
      </w:r>
      <w:r>
        <w:rPr>
          <w:rFonts w:hint="default"/>
          <w:lang w:val="ru-RU"/>
        </w:rPr>
        <w:t>___</w:t>
      </w:r>
      <w:r>
        <w:t xml:space="preserve"> копеек, </w:t>
      </w:r>
      <w:r>
        <w:rPr>
          <w:spacing w:val="-3"/>
        </w:rPr>
        <w:t xml:space="preserve">НДС </w:t>
      </w:r>
      <w:r>
        <w:rPr>
          <w:rFonts w:hint="default"/>
          <w:spacing w:val="-3"/>
          <w:lang w:val="ru-RU"/>
        </w:rPr>
        <w:t xml:space="preserve">__________________ (в случае освобождения от Исполнителя от уплаты НДС указывается: </w:t>
      </w:r>
      <w:r>
        <w:rPr>
          <w:spacing w:val="-3"/>
        </w:rPr>
        <w:t>не облагается в соответствии с пунктом 2 статьи 346.11 НК РФ.</w:t>
      </w:r>
      <w:r>
        <w:rPr>
          <w:rFonts w:hint="default"/>
          <w:spacing w:val="-3"/>
          <w:lang w:val="ru-RU"/>
        </w:rPr>
        <w:t>)</w:t>
      </w:r>
      <w:bookmarkStart w:id="0" w:name="_GoBack"/>
      <w:bookmarkEnd w:id="0"/>
    </w:p>
    <w:p w14:paraId="415A2739">
      <w:pPr>
        <w:shd w:val="clear" w:color="auto" w:fill="FFFFFF"/>
        <w:ind w:firstLine="709"/>
        <w:jc w:val="both"/>
      </w:pPr>
      <w:r>
        <w:t xml:space="preserve">2.2. 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r>
        <w:fldChar w:fldCharType="begin"/>
      </w:r>
      <w:r>
        <w:instrText xml:space="preserve"> HYPERLINK "garantF1://10800200.1" </w:instrText>
      </w:r>
      <w:r>
        <w:fldChar w:fldCharType="separate"/>
      </w:r>
      <w:r>
        <w:rPr>
          <w:shd w:val="clear" w:color="auto" w:fill="FFFFFF"/>
        </w:rPr>
        <w:t>законодательством</w:t>
      </w:r>
      <w:r>
        <w:rPr>
          <w:shd w:val="clear" w:color="auto" w:fill="FFFFFF"/>
        </w:rPr>
        <w:fldChar w:fldCharType="end"/>
      </w:r>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 заказчиком</w:t>
      </w:r>
      <w:r>
        <w:rPr>
          <w:shd w:val="clear" w:color="auto" w:fill="FFFFFF"/>
        </w:rPr>
        <w:t>.</w:t>
      </w:r>
    </w:p>
    <w:p w14:paraId="038889E9">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14:paraId="1666A292">
      <w:pPr>
        <w:ind w:firstLine="709"/>
        <w:jc w:val="both"/>
      </w:pPr>
      <w:r>
        <w:t>За исключением дополнительных расходов, которые стороны не смогли предусмотреть до подписания Договора, необходимость которых возникла в процессе исполнения Услуг и согласована Сторонами.</w:t>
      </w:r>
    </w:p>
    <w:p w14:paraId="5A73D392">
      <w:pPr>
        <w:tabs>
          <w:tab w:val="left" w:pos="720"/>
        </w:tabs>
        <w:autoSpaceDE w:val="0"/>
        <w:ind w:firstLine="709"/>
        <w:jc w:val="both"/>
      </w:pPr>
      <w:r>
        <w:t xml:space="preserve">2.4. Цена Контракта является твёрдой и определяется на весь срок его исполнения. </w:t>
      </w:r>
    </w:p>
    <w:p w14:paraId="614E7779">
      <w:pPr>
        <w:ind w:firstLine="709"/>
      </w:pPr>
      <w:r>
        <w:t>2.5. Цена контракта выражается в валюте Российской Федерации.</w:t>
      </w:r>
    </w:p>
    <w:p w14:paraId="76ACF0BA">
      <w:pPr>
        <w:widowControl w:val="0"/>
        <w:autoSpaceDE w:val="0"/>
        <w:ind w:firstLine="709"/>
        <w:jc w:val="both"/>
      </w:pPr>
      <w:r>
        <w:t xml:space="preserve">2.6.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Pr>
          <w:spacing w:val="-4"/>
          <w:lang w:eastAsia="ru-RU"/>
        </w:rPr>
        <w:t>на 2024 г. КВР: 244. КОСГУ: 225</w:t>
      </w:r>
      <w:r>
        <w:t>.</w:t>
      </w:r>
    </w:p>
    <w:p w14:paraId="00CE75DB">
      <w:pPr>
        <w:widowControl w:val="0"/>
        <w:autoSpaceDE w:val="0"/>
        <w:ind w:firstLine="709"/>
        <w:jc w:val="both"/>
      </w:pPr>
      <w:r>
        <w:t>2.7. Аванс по Контракту не предусмотрен. Форма оплаты: безналичный расчёт.</w:t>
      </w:r>
    </w:p>
    <w:p w14:paraId="445B1297">
      <w:pPr>
        <w:ind w:firstLine="709"/>
        <w:jc w:val="both"/>
      </w:pPr>
      <w:r>
        <w:t>2.8. Оплата осуществляется по факту оказанных услуг не более чем в течение 3 (трех) рабочих дней, с даты подписания Заказчиком акта оказанных услуг (или универсального передаточного документа).</w:t>
      </w:r>
    </w:p>
    <w:p w14:paraId="46091F6D">
      <w:pPr>
        <w:tabs>
          <w:tab w:val="left" w:pos="10680"/>
        </w:tabs>
        <w:ind w:right="33" w:firstLine="709"/>
        <w:jc w:val="both"/>
      </w:pPr>
      <w:r>
        <w:t>2.9. Датой платежа считается дата списания денежных средств, с расчётного счета Заказчика.</w:t>
      </w:r>
    </w:p>
    <w:p w14:paraId="318B1C98">
      <w:pPr>
        <w:tabs>
          <w:tab w:val="left" w:pos="10680"/>
        </w:tabs>
        <w:ind w:right="33" w:firstLine="589"/>
        <w:jc w:val="both"/>
        <w:rPr>
          <w:b/>
        </w:rPr>
      </w:pPr>
    </w:p>
    <w:p w14:paraId="37AFE2DD">
      <w:pPr>
        <w:widowControl w:val="0"/>
        <w:jc w:val="center"/>
        <w:rPr>
          <w:b/>
          <w:bCs/>
        </w:rPr>
      </w:pPr>
      <w:r>
        <w:rPr>
          <w:b/>
          <w:bCs/>
        </w:rPr>
        <w:t>3. КАЧЕСТВО УСЛУГИ. ГАРАНТИЙНЫЕ ОБЯЗАТЕЛЬСТВА</w:t>
      </w:r>
    </w:p>
    <w:p w14:paraId="0EACC547">
      <w:pPr>
        <w:widowControl w:val="0"/>
        <w:ind w:firstLine="709"/>
        <w:jc w:val="both"/>
      </w:pPr>
      <w:r>
        <w:t>3.1.  Качество предоставляемой услуги должно соответствовать заявленным в Спецификации (Приложение №1) характеристикам и требованиям.</w:t>
      </w:r>
    </w:p>
    <w:p w14:paraId="23D31EAD">
      <w:pPr>
        <w:widowControl w:val="0"/>
        <w:ind w:firstLine="709"/>
        <w:jc w:val="both"/>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14:paraId="01C09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14:paraId="1D936629">
      <w:pPr>
        <w:widowControl w:val="0"/>
        <w:jc w:val="center"/>
        <w:rPr>
          <w:b/>
          <w:bCs/>
        </w:rPr>
      </w:pPr>
      <w:r>
        <w:rPr>
          <w:b/>
          <w:bCs/>
        </w:rPr>
        <w:t>4. СРОКИ, МЕСТО ОКАЗАНИЯ УСЛУГИ И ПОРЯДОК ПРИЕМКИ ОКАЗАННОЙ УСЛУГИ</w:t>
      </w:r>
    </w:p>
    <w:p w14:paraId="32636F39">
      <w:pPr>
        <w:widowControl w:val="0"/>
        <w:autoSpaceDE w:val="0"/>
        <w:ind w:firstLine="709"/>
        <w:jc w:val="both"/>
      </w:pPr>
      <w:r>
        <w:t>4.1. Срок оказания услуги: услуги оказываются по заявке Заказчика, с даты заключения Контракта по 30.11.2024 г.</w:t>
      </w:r>
    </w:p>
    <w:p w14:paraId="14AB4E57">
      <w:pPr>
        <w:widowControl w:val="0"/>
        <w:autoSpaceDE w:val="0"/>
        <w:ind w:firstLine="709"/>
        <w:jc w:val="both"/>
        <w:rPr>
          <w:rFonts w:eastAsia="Andale Sans UI"/>
          <w:bCs/>
          <w:kern w:val="1"/>
        </w:rPr>
      </w:pPr>
      <w:r>
        <w:t>4.2. Отбор проб осуществляется по адресу:</w:t>
      </w:r>
      <w:r>
        <w:rPr>
          <w:rFonts w:eastAsia="Calibri"/>
          <w:spacing w:val="-4"/>
          <w:lang w:eastAsia="en-US"/>
        </w:rPr>
        <w:t xml:space="preserve"> Санкт-Петербург, проспект Народного Ополчения, 2Б</w:t>
      </w:r>
      <w:r>
        <w:t>.</w:t>
      </w:r>
      <w:r>
        <w:rPr>
          <w:rFonts w:eastAsia="Andale Sans UI"/>
          <w:bCs/>
          <w:kern w:val="1"/>
        </w:rPr>
        <w:t xml:space="preserve"> Результат лабораторных исследований предоставляется Исполнителем </w:t>
      </w:r>
    </w:p>
    <w:p w14:paraId="468E10C6">
      <w:pPr>
        <w:widowControl w:val="0"/>
        <w:autoSpaceDE w:val="0"/>
        <w:jc w:val="both"/>
      </w:pPr>
      <w:r>
        <w:rPr>
          <w:rFonts w:eastAsia="Andale Sans UI"/>
          <w:bCs/>
          <w:kern w:val="1"/>
        </w:rPr>
        <w:t>по адресу г. Санкт-Петербург, пер. Майков, д. 9.</w:t>
      </w:r>
    </w:p>
    <w:p w14:paraId="7D2D66D4">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4.3. По результатам оказания услуг Исполнитель передаёт Заказчику комплект документов, в составе:</w:t>
      </w:r>
    </w:p>
    <w:p w14:paraId="2636B899">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14:paraId="01F76FD1">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xml:space="preserve">- акт оказанных услуг (или универсальный передаточный документ) </w:t>
      </w:r>
      <w:r>
        <w:rPr>
          <w:bCs/>
          <w:kern w:val="0"/>
        </w:rPr>
        <w:br w:type="textWrapping"/>
      </w:r>
      <w:r>
        <w:rPr>
          <w:bCs/>
          <w:kern w:val="0"/>
        </w:rPr>
        <w:t>в 2 экземплярах;</w:t>
      </w:r>
    </w:p>
    <w:p w14:paraId="0B713E90">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документы, предусмотренные </w:t>
      </w:r>
      <w:r>
        <w:t>Спецификацией (Приложение №1 к Контракту);</w:t>
      </w:r>
    </w:p>
    <w:p w14:paraId="347A025D">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 не превышающий 20 рабочих дней.</w:t>
      </w:r>
    </w:p>
    <w:p w14:paraId="4163414C">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в течение 5 (пяти) рабочих дней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14:paraId="4A07D3AD">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Если в указанный срок от Заказчика не поступит возражений, относительно представленного Исполнителем акта об оказании услуг, данные документы считаются принятыми и утвержденными Заказчиком.</w:t>
      </w:r>
    </w:p>
    <w:p w14:paraId="000BDAE7">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xml:space="preserve">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w:t>
      </w:r>
      <w:r>
        <w:rPr>
          <w:bCs/>
          <w:kern w:val="0"/>
        </w:rPr>
        <w:br w:type="textWrapping"/>
      </w:r>
      <w:r>
        <w:rPr>
          <w:bCs/>
          <w:kern w:val="0"/>
        </w:rPr>
        <w:t xml:space="preserve">в соответствии с Федеральным законом от 5 апреля 2013 г. № 44-ФЗ «О контрактной системе в сфере закупок товаров, работ, услуг для обеспечения государственных </w:t>
      </w:r>
      <w:r>
        <w:rPr>
          <w:bCs/>
          <w:kern w:val="0"/>
        </w:rPr>
        <w:br w:type="textWrapping"/>
      </w:r>
      <w:r>
        <w:rPr>
          <w:bCs/>
          <w:kern w:val="0"/>
        </w:rPr>
        <w:t>и муниципальных нужд».</w:t>
      </w:r>
      <w:r>
        <w:tab/>
      </w:r>
    </w:p>
    <w:p w14:paraId="7600B8E9">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14:paraId="5982835C">
      <w:pPr>
        <w:widowControl w:val="0"/>
        <w:shd w:val="clear" w:color="auto" w:fill="FFFFFF"/>
        <w:jc w:val="center"/>
        <w:rPr>
          <w:b/>
          <w:bCs/>
        </w:rPr>
      </w:pPr>
      <w:r>
        <w:rPr>
          <w:b/>
          <w:bCs/>
        </w:rPr>
        <w:t>5. ПРАВА И ОБЯЗАННОСТИ ЗАКАЗЧИКА</w:t>
      </w:r>
    </w:p>
    <w:p w14:paraId="32572D94">
      <w:pPr>
        <w:widowControl w:val="0"/>
        <w:shd w:val="clear" w:color="auto" w:fill="FFFFFF"/>
        <w:ind w:firstLine="709"/>
        <w:jc w:val="both"/>
      </w:pPr>
      <w:r>
        <w:t>5.1. Заказчик по настоящему Контракту вправе:</w:t>
      </w:r>
    </w:p>
    <w:p w14:paraId="28E06019">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14:paraId="6D88376F">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 при условии оплаты Исполнителю оказанных по Договору фактически понесенных расходов.</w:t>
      </w:r>
    </w:p>
    <w:p w14:paraId="7A511F91">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14:paraId="471A8014">
      <w:pPr>
        <w:widowControl w:val="0"/>
        <w:shd w:val="clear" w:color="auto" w:fill="FFFFFF"/>
        <w:autoSpaceDE w:val="0"/>
        <w:ind w:firstLine="709"/>
        <w:jc w:val="both"/>
      </w:pPr>
      <w:r>
        <w:t>5.1.4. Контролировать ход оказания Услуги, соблюдение срока оказания, проверять соответствие Услуги условиям настоящего Контракта, Спецификации.</w:t>
      </w:r>
    </w:p>
    <w:p w14:paraId="2A618A27">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14:paraId="00A92BAA">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14:paraId="7F448AF1">
      <w:pPr>
        <w:widowControl w:val="0"/>
        <w:shd w:val="clear" w:color="auto" w:fill="FFFFFF"/>
        <w:ind w:firstLine="709"/>
        <w:jc w:val="both"/>
      </w:pPr>
      <w:r>
        <w:t>5.2. Заказчик по настоящему Контракту обязан:</w:t>
      </w:r>
    </w:p>
    <w:p w14:paraId="4AD6CC58">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14:paraId="105CE224">
      <w:pPr>
        <w:ind w:firstLine="709"/>
        <w:jc w:val="both"/>
      </w:pPr>
      <w:r>
        <w:t>5.2.2. В течение 5 (пяти) рабочих дней после оказания услуг сообщать Исполнителю в письменной форме о недостатках, выявленных в ходе оказания услуг или приемке исполненных обязательств.</w:t>
      </w:r>
    </w:p>
    <w:p w14:paraId="4B06E1D9">
      <w:pPr>
        <w:pStyle w:val="18"/>
        <w:ind w:firstLine="709"/>
        <w:rPr>
          <w:sz w:val="24"/>
          <w:szCs w:val="24"/>
        </w:rPr>
      </w:pPr>
      <w:r>
        <w:rPr>
          <w:sz w:val="24"/>
          <w:szCs w:val="24"/>
        </w:rPr>
        <w:t>5.2.3.  Предоставить Исполнителю всю необходимую для оказания услуг информацию и документы.</w:t>
      </w:r>
    </w:p>
    <w:p w14:paraId="1186D780">
      <w:pPr>
        <w:widowControl w:val="0"/>
        <w:shd w:val="clear" w:color="auto" w:fill="FFFFFF"/>
        <w:ind w:firstLine="709"/>
        <w:jc w:val="both"/>
      </w:pPr>
      <w:r>
        <w:t>5.2.4. Надлежаще исполнять иные принятые на себя обязательства.</w:t>
      </w:r>
    </w:p>
    <w:p w14:paraId="2CF6DC0B">
      <w:pPr>
        <w:widowControl w:val="0"/>
        <w:shd w:val="clear" w:color="auto" w:fill="FFFFFF"/>
        <w:ind w:firstLine="709"/>
        <w:jc w:val="both"/>
      </w:pPr>
      <w:r>
        <w:t>5.2.5. Заказчик обязуется не совершать действия, способные повлечь невозможность, а равно препятствующие выполнению Исполнителем своих обязательств по Договору, кроме того, обеспечить активное сотрудничество и оперативно (срок не более трех дней) предоставлять информацию, запрашиваемую Исполнителем при оказании Услуг, оперативно (срок не более трех рабочих дней) согласовать макеты предоставляемых Исполнителем документов, условия реализации дополнительных действий, возникающих в процессе предоставления Услуг.</w:t>
      </w:r>
    </w:p>
    <w:p w14:paraId="6253F185">
      <w:pPr>
        <w:widowControl w:val="0"/>
        <w:shd w:val="clear" w:color="auto" w:fill="FFFFFF"/>
        <w:ind w:firstLine="709"/>
        <w:jc w:val="both"/>
      </w:pPr>
    </w:p>
    <w:p w14:paraId="0315E7DE">
      <w:pPr>
        <w:widowControl w:val="0"/>
        <w:shd w:val="clear" w:color="auto" w:fill="FFFFFF"/>
        <w:jc w:val="center"/>
        <w:rPr>
          <w:b/>
          <w:bCs/>
        </w:rPr>
      </w:pPr>
      <w:r>
        <w:rPr>
          <w:b/>
          <w:bCs/>
        </w:rPr>
        <w:t>6. ПРАВА И ОБЯЗАННОСТИ ИСПОЛНИТЕЛЯ</w:t>
      </w:r>
    </w:p>
    <w:p w14:paraId="0AED9123">
      <w:pPr>
        <w:widowControl w:val="0"/>
        <w:shd w:val="clear" w:color="auto" w:fill="FFFFFF"/>
        <w:ind w:firstLine="709"/>
        <w:jc w:val="both"/>
      </w:pPr>
      <w:r>
        <w:t>6.1. Исполнитель по настоящему Контракту вправе:</w:t>
      </w:r>
    </w:p>
    <w:p w14:paraId="233D07FD">
      <w:pPr>
        <w:widowControl w:val="0"/>
        <w:shd w:val="clear" w:color="auto" w:fill="FFFFFF"/>
        <w:autoSpaceDE w:val="0"/>
        <w:ind w:firstLine="709"/>
        <w:jc w:val="both"/>
      </w:pPr>
      <w:r>
        <w:t>6.1.1. Запрашивать и получать в установленном порядке у Заказчика документацию и информацию, необходимые для оказания услуг по настоящему Контракту.</w:t>
      </w:r>
    </w:p>
    <w:p w14:paraId="31F045F9">
      <w:pPr>
        <w:ind w:firstLine="709"/>
        <w:jc w:val="both"/>
      </w:pPr>
      <w:r>
        <w:t>6.1.2. Требовать от Заказчика надлежащего исполнения, принятых на себя обязательств по настоящему Контракту.</w:t>
      </w:r>
    </w:p>
    <w:p w14:paraId="736B030F">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14:paraId="35E49F83">
      <w:pPr>
        <w:widowControl w:val="0"/>
        <w:shd w:val="clear" w:color="auto" w:fill="FFFFFF"/>
        <w:autoSpaceDE w:val="0"/>
        <w:ind w:firstLine="709"/>
        <w:jc w:val="both"/>
      </w:pPr>
      <w:r>
        <w:t>6.2. Исполнитель по настоящему Контракту обязан:</w:t>
      </w:r>
    </w:p>
    <w:p w14:paraId="0C1A9772">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14:paraId="6D3E68E8">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14:paraId="05448F24">
      <w:pPr>
        <w:widowControl w:val="0"/>
        <w:shd w:val="clear" w:color="auto" w:fill="FFFFFF"/>
        <w:autoSpaceDE w:val="0"/>
        <w:ind w:firstLine="709"/>
        <w:jc w:val="both"/>
      </w:pPr>
      <w:r>
        <w:t xml:space="preserve">6.2.3. Оказывать услугу силами своих специалистов в соответствии </w:t>
      </w:r>
      <w:r>
        <w:br w:type="textWrapping"/>
      </w:r>
      <w:r>
        <w:t>с действующими нормативно-техническими правилами в срок, установленный Контрактом </w:t>
      </w:r>
    </w:p>
    <w:p w14:paraId="4C132C03">
      <w:pPr>
        <w:widowControl w:val="0"/>
        <w:ind w:firstLine="709"/>
        <w:jc w:val="both"/>
      </w:pPr>
      <w:r>
        <w:t>6.2.4. Предоставить надлежаще оформленные документы, предусмотренные настоящим Контрактом.</w:t>
      </w:r>
    </w:p>
    <w:p w14:paraId="029BEE74">
      <w:pPr>
        <w:widowControl w:val="0"/>
        <w:ind w:firstLine="709"/>
        <w:jc w:val="both"/>
      </w:pPr>
      <w:r>
        <w:t>6.2.5. Вправе самостоятельно определять законные средства методы и способы исполнения обязательств по Договору, исходя из требований международных норм (норм ЕАЭС), действующих нормативных актов Российской Федерации, условий настоящего Договора, в том числе привлекать третьих лиц для оказания Услуг по Договору и передавать им конфиденциальную информацию Заказчика, полученную от него, исключительно в целях оказания Услуги, при условии, что Исполнитель обеспечит соблюдение ими конфиденциальности в отношении такой информации.</w:t>
      </w:r>
    </w:p>
    <w:p w14:paraId="3C007DF7">
      <w:pPr>
        <w:widowControl w:val="0"/>
        <w:shd w:val="clear" w:color="auto" w:fill="FFFFFF"/>
        <w:jc w:val="center"/>
        <w:rPr>
          <w:b/>
          <w:bCs/>
        </w:rPr>
      </w:pPr>
    </w:p>
    <w:p w14:paraId="0F6EDF0B">
      <w:pPr>
        <w:widowControl w:val="0"/>
        <w:shd w:val="clear" w:color="auto" w:fill="FFFFFF"/>
        <w:jc w:val="center"/>
        <w:rPr>
          <w:b/>
          <w:bCs/>
        </w:rPr>
      </w:pPr>
    </w:p>
    <w:p w14:paraId="00B7B612">
      <w:pPr>
        <w:widowControl w:val="0"/>
        <w:shd w:val="clear" w:color="auto" w:fill="FFFFFF"/>
        <w:jc w:val="center"/>
        <w:rPr>
          <w:b/>
          <w:bCs/>
        </w:rPr>
      </w:pPr>
    </w:p>
    <w:p w14:paraId="30155E60">
      <w:pPr>
        <w:widowControl w:val="0"/>
        <w:shd w:val="clear" w:color="auto" w:fill="FFFFFF"/>
        <w:jc w:val="center"/>
        <w:rPr>
          <w:b/>
          <w:bCs/>
        </w:rPr>
      </w:pPr>
    </w:p>
    <w:p w14:paraId="760FCBDE">
      <w:pPr>
        <w:widowControl w:val="0"/>
        <w:shd w:val="clear" w:color="auto" w:fill="FFFFFF"/>
        <w:jc w:val="center"/>
        <w:rPr>
          <w:b/>
          <w:bCs/>
        </w:rPr>
      </w:pPr>
      <w:r>
        <w:rPr>
          <w:b/>
          <w:bCs/>
        </w:rPr>
        <w:t>7. ОТВЕТСТВЕННОСТЬ СТОРОН</w:t>
      </w:r>
    </w:p>
    <w:p w14:paraId="65F73C05">
      <w:pPr>
        <w:ind w:firstLine="708"/>
        <w:jc w:val="both"/>
      </w:pPr>
      <w:r>
        <w:t xml:space="preserve">7.1. За неисполнение или ненадлежащее исполнение обязательств, предусмотренных Контрактом, Стороны несут ответственность в соответствии </w:t>
      </w:r>
      <w:r>
        <w:br w:type="textWrapping"/>
      </w:r>
      <w:r>
        <w:t>с законодательством Российской Федерации.</w:t>
      </w:r>
    </w:p>
    <w:p w14:paraId="4509E3F9">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30B94A6">
      <w:pPr>
        <w:ind w:firstLine="708"/>
        <w:jc w:val="both"/>
      </w:pPr>
      <w:r>
        <w:t xml:space="preserve">7.3. За нарушения сроков оплаты по Договору Заказчик несет ответственность </w:t>
      </w:r>
      <w:r>
        <w:br w:type="textWrapping"/>
      </w:r>
      <w:r>
        <w:t>в виде выплату Исполнителю пени в размере 0,2 % от цены Услуг, указанных в п. 2.1. настоящего Контракта, от неоплаченной суммы за каждый день просрочки.</w:t>
      </w:r>
    </w:p>
    <w:p w14:paraId="5872CA31">
      <w:pPr>
        <w:ind w:firstLine="708"/>
        <w:jc w:val="both"/>
      </w:pPr>
      <w:r>
        <w:t>7.4. В случае нарушения исполнителем сроков оказания Услуг, Заказчик вправе взыскать с Исполнителя пени в размере 0.2 % от стоимости не оказанных в срок Услуг за каждый день просрочки до полного устранения нарушения.</w:t>
      </w:r>
    </w:p>
    <w:p w14:paraId="5152480E">
      <w:pPr>
        <w:ind w:firstLine="708"/>
        <w:jc w:val="both"/>
      </w:pPr>
      <w:r>
        <w:t>Стороны пришли к соглашению, что в любом случае совокупный размер ответственности Исполнителя перед Заказчиком (в том числе, не ограничиваясь, пени, штрафами и пр.) не может превышать 100% от цены соответствующих оказываемых Услуг.</w:t>
      </w:r>
    </w:p>
    <w:p w14:paraId="4E491E1D">
      <w:pPr>
        <w:ind w:firstLine="708"/>
        <w:jc w:val="both"/>
      </w:pPr>
      <w:r>
        <w:t xml:space="preserve">Неполученные доходы (упущенная выгода) взысканию с Исполнителя </w:t>
      </w:r>
      <w:r>
        <w:br w:type="textWrapping"/>
      </w:r>
      <w:r>
        <w:t>не подлежат.</w:t>
      </w:r>
    </w:p>
    <w:p w14:paraId="102BF197">
      <w:pPr>
        <w:ind w:firstLine="708"/>
        <w:jc w:val="both"/>
      </w:pPr>
      <w: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0D0EF0">
      <w:pPr>
        <w:ind w:firstLine="708"/>
        <w:jc w:val="both"/>
      </w:pPr>
      <w: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согласно п. 7.4.</w:t>
      </w:r>
    </w:p>
    <w:p w14:paraId="725A3B5D">
      <w:pPr>
        <w:ind w:firstLine="708"/>
        <w:jc w:val="both"/>
      </w:pPr>
      <w: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B3C881">
      <w:pPr>
        <w:ind w:firstLine="708"/>
        <w:jc w:val="both"/>
      </w:pPr>
      <w: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6CB9DA">
      <w:pPr>
        <w:tabs>
          <w:tab w:val="left" w:pos="360"/>
          <w:tab w:val="left" w:pos="600"/>
          <w:tab w:val="left" w:pos="720"/>
        </w:tabs>
        <w:ind w:firstLine="709"/>
        <w:jc w:val="both"/>
      </w:pPr>
      <w:r>
        <w:t>7.9. Уплата неустойки (штрафа, пени) не освобождает Стороны от исполнения обязательств по Контракту.</w:t>
      </w:r>
    </w:p>
    <w:p w14:paraId="4DD562F3">
      <w:pPr>
        <w:tabs>
          <w:tab w:val="left" w:pos="360"/>
          <w:tab w:val="left" w:pos="600"/>
          <w:tab w:val="left" w:pos="720"/>
        </w:tabs>
        <w:ind w:firstLine="709"/>
        <w:jc w:val="both"/>
      </w:pPr>
      <w:r>
        <w:t>7.10. Неустойки (пени, штрафы) уплачиваются виновной стороной на основании требования (претензии) об уплате неустойки (пени, штрафа).</w:t>
      </w:r>
    </w:p>
    <w:p w14:paraId="2EC35AAF">
      <w:pPr>
        <w:tabs>
          <w:tab w:val="left" w:pos="360"/>
          <w:tab w:val="left" w:pos="600"/>
          <w:tab w:val="left" w:pos="720"/>
        </w:tabs>
        <w:jc w:val="both"/>
        <w:rPr>
          <w:b/>
        </w:rPr>
      </w:pPr>
      <w:r>
        <w:tab/>
      </w:r>
      <w:r>
        <w:t xml:space="preserve">  </w:t>
      </w:r>
    </w:p>
    <w:p w14:paraId="12A671D3">
      <w:pPr>
        <w:widowControl w:val="0"/>
        <w:jc w:val="center"/>
        <w:rPr>
          <w:b/>
          <w:bCs/>
        </w:rPr>
      </w:pPr>
      <w:r>
        <w:rPr>
          <w:b/>
          <w:bCs/>
        </w:rPr>
        <w:t>8. ФОРС-МАЖОРНЫЕ ОБСТОЯТЕЛЬСТВА</w:t>
      </w:r>
    </w:p>
    <w:p w14:paraId="11C20312">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C4C6877">
      <w:pPr>
        <w:widowControl w:val="0"/>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8FC29D7">
      <w:pPr>
        <w:widowControl w:val="0"/>
        <w:ind w:firstLine="709"/>
        <w:jc w:val="both"/>
      </w:pPr>
      <w:r>
        <w:t>8.2. При таких обстоятельствах срок исполнения обязательств по настоящему Договору, будет продлен на срок действия форс-мажора.</w:t>
      </w:r>
    </w:p>
    <w:p w14:paraId="6BB5C669">
      <w:pPr>
        <w:widowControl w:val="0"/>
        <w:ind w:firstLine="709"/>
        <w:jc w:val="both"/>
      </w:pPr>
      <w:r>
        <w:t xml:space="preserve">8.3. Сторона, ссылающаяся на обстоятельства непреодолимой силы, обязана при наличии возможности любым удобным способом известить другую Сторону </w:t>
      </w:r>
      <w:r>
        <w:br w:type="textWrapping"/>
      </w:r>
      <w:r>
        <w:t xml:space="preserve">о наступлении действия или о прекращении действия подобных обстоятельств </w:t>
      </w:r>
      <w:r>
        <w:br w:type="textWrapping"/>
      </w:r>
      <w:r>
        <w:t>и предоставить надлежащее доказательство наступления форс-мажорных обстоятельств.</w:t>
      </w:r>
    </w:p>
    <w:p w14:paraId="56616D30">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6EA2CB6">
      <w:pPr>
        <w:widowControl w:val="0"/>
        <w:ind w:firstLine="709"/>
        <w:jc w:val="both"/>
      </w:pPr>
      <w:r>
        <w:t xml:space="preserve">8.4. По прекращению действия форс-мажорных обстоятельств, Сторона, ссылающаяся на них, должна без промедления известить об этом другую Сторону </w:t>
      </w:r>
      <w:r>
        <w:br w:type="textWrapping"/>
      </w:r>
      <w:r>
        <w:t>в письменном виде.</w:t>
      </w:r>
    </w:p>
    <w:p w14:paraId="37D41F1D">
      <w:pPr>
        <w:widowControl w:val="0"/>
        <w:ind w:firstLine="709"/>
        <w:jc w:val="both"/>
        <w:rPr>
          <w:b/>
          <w:bCs/>
        </w:rPr>
      </w:pPr>
      <w:r>
        <w:t xml:space="preserve">8.5. Стороны могут отказаться от дальнейшего исполнения обязательств </w:t>
      </w:r>
      <w:r>
        <w:br w:type="textWrapping"/>
      </w:r>
      <w:r>
        <w:t>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599A8EF7">
      <w:pPr>
        <w:widowControl w:val="0"/>
        <w:ind w:firstLine="709"/>
        <w:jc w:val="both"/>
        <w:rPr>
          <w:b/>
          <w:bCs/>
        </w:rPr>
      </w:pPr>
    </w:p>
    <w:p w14:paraId="0246C8F8">
      <w:pPr>
        <w:widowControl w:val="0"/>
        <w:jc w:val="center"/>
        <w:rPr>
          <w:b/>
          <w:bCs/>
        </w:rPr>
      </w:pPr>
      <w:r>
        <w:rPr>
          <w:b/>
          <w:bCs/>
        </w:rPr>
        <w:t>9. УВЕДОМЛЕНИЯ И ИЗВЕЩЕНИЯ</w:t>
      </w:r>
    </w:p>
    <w:p w14:paraId="2A66FE4A">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B2C32D3">
      <w:pPr>
        <w:widowControl w:val="0"/>
        <w:ind w:firstLine="709"/>
        <w:jc w:val="both"/>
        <w:rPr>
          <w:b/>
          <w:bCs/>
        </w:rPr>
      </w:pPr>
    </w:p>
    <w:p w14:paraId="37237C27">
      <w:pPr>
        <w:widowControl w:val="0"/>
        <w:ind w:firstLine="709"/>
        <w:jc w:val="center"/>
        <w:rPr>
          <w:b/>
          <w:bCs/>
        </w:rPr>
      </w:pPr>
      <w:r>
        <w:rPr>
          <w:b/>
          <w:bCs/>
        </w:rPr>
        <w:t>10. РАЗРЕШЕНИЕ СПОРОВ</w:t>
      </w:r>
    </w:p>
    <w:p w14:paraId="56A569CE">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17ED60A">
      <w:pPr>
        <w:shd w:val="clear" w:color="auto" w:fill="FFFFFF"/>
        <w:ind w:firstLine="709"/>
        <w:jc w:val="both"/>
      </w:pPr>
      <w:r>
        <w:t xml:space="preserve">10.2.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по месту нахождения Истца</w:t>
      </w:r>
      <w:r>
        <w:t>.</w:t>
      </w:r>
    </w:p>
    <w:p w14:paraId="48F65A8A">
      <w:pPr>
        <w:widowControl w:val="0"/>
        <w:autoSpaceDE w:val="0"/>
        <w:jc w:val="both"/>
      </w:pPr>
    </w:p>
    <w:p w14:paraId="178B3A3F">
      <w:pPr>
        <w:tabs>
          <w:tab w:val="left" w:pos="480"/>
        </w:tabs>
        <w:jc w:val="center"/>
        <w:rPr>
          <w:b/>
        </w:rPr>
      </w:pPr>
      <w:r>
        <w:rPr>
          <w:b/>
          <w:bCs/>
        </w:rPr>
        <w:t xml:space="preserve">11.  </w:t>
      </w:r>
      <w:r>
        <w:rPr>
          <w:b/>
        </w:rPr>
        <w:t>РАСТОРЖЕНИЕ КОНТРАКТА</w:t>
      </w:r>
    </w:p>
    <w:p w14:paraId="0F464CD8">
      <w:pPr>
        <w:pStyle w:val="29"/>
        <w:ind w:firstLine="709"/>
        <w:rPr>
          <w:spacing w:val="-3"/>
          <w:lang w:eastAsia="ar-SA"/>
        </w:rPr>
      </w:pPr>
      <w:r>
        <w:rPr>
          <w:spacing w:val="-3"/>
          <w:lang w:eastAsia="ar-SA"/>
        </w:rPr>
        <w:t xml:space="preserve">11.1.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spacing w:val="-3"/>
          <w:lang w:eastAsia="ar-SA"/>
        </w:rPr>
        <w:br w:type="textWrapping"/>
      </w:r>
      <w:r>
        <w:rPr>
          <w:spacing w:val="-3"/>
          <w:lang w:eastAsia="ar-SA"/>
        </w:rPr>
        <w:t>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C425535">
      <w:pPr>
        <w:pStyle w:val="29"/>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w:t>
      </w:r>
      <w:r>
        <w:br w:type="textWrapping"/>
      </w:r>
      <w:r>
        <w:t>о расторжении Контракта.</w:t>
      </w:r>
    </w:p>
    <w:p w14:paraId="4844534A">
      <w:pPr>
        <w:autoSpaceDE w:val="0"/>
        <w:autoSpaceDN w:val="0"/>
        <w:adjustRightInd w:val="0"/>
        <w:jc w:val="center"/>
        <w:outlineLvl w:val="0"/>
        <w:rPr>
          <w:b/>
          <w:bCs/>
        </w:rPr>
      </w:pPr>
    </w:p>
    <w:p w14:paraId="6F399F1C">
      <w:pPr>
        <w:widowControl w:val="0"/>
        <w:jc w:val="center"/>
        <w:rPr>
          <w:b/>
          <w:bCs/>
        </w:rPr>
      </w:pPr>
      <w:r>
        <w:rPr>
          <w:b/>
          <w:bCs/>
        </w:rPr>
        <w:t>12. ДЕЙСТВИЕ КОНТРАКТА</w:t>
      </w:r>
    </w:p>
    <w:p w14:paraId="116865B5">
      <w:pPr>
        <w:jc w:val="both"/>
      </w:pPr>
      <w:r>
        <w:tab/>
      </w:r>
      <w:r>
        <w:t xml:space="preserve">12.1. </w:t>
      </w:r>
      <w:r>
        <w:rPr>
          <w:rFonts w:eastAsia="Arial"/>
        </w:rPr>
        <w:t xml:space="preserve">Настоящий Контракт считается заключенным с даты его подписания </w:t>
      </w:r>
      <w:r>
        <w:rPr>
          <w:rFonts w:eastAsia="Arial"/>
        </w:rPr>
        <w:br w:type="textWrapping"/>
      </w:r>
      <w:r>
        <w:rPr>
          <w:rFonts w:eastAsia="Arial"/>
        </w:rPr>
        <w:t>и Заказчиком и</w:t>
      </w:r>
      <w:r>
        <w:t xml:space="preserve"> действует по 31.12.2024 года. </w:t>
      </w:r>
    </w:p>
    <w:p w14:paraId="4F6BE5CA">
      <w:pPr>
        <w:widowControl w:val="0"/>
        <w:ind w:firstLine="709"/>
        <w:jc w:val="both"/>
      </w:pPr>
      <w:r>
        <w:t>12.2.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62AD8B4D">
      <w:pPr>
        <w:widowControl w:val="0"/>
        <w:ind w:firstLine="709"/>
        <w:jc w:val="both"/>
        <w:rPr>
          <w:b/>
          <w:bCs/>
        </w:rPr>
      </w:pPr>
    </w:p>
    <w:p w14:paraId="435CBDD7">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14:paraId="118789DE">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5BE89B3">
      <w:pPr>
        <w:widowControl w:val="0"/>
        <w:tabs>
          <w:tab w:val="left" w:pos="142"/>
          <w:tab w:val="left" w:pos="360"/>
          <w:tab w:val="left" w:pos="851"/>
          <w:tab w:val="left" w:pos="1134"/>
          <w:tab w:val="left" w:pos="1276"/>
          <w:tab w:val="left" w:pos="1418"/>
        </w:tabs>
        <w:ind w:firstLine="720"/>
        <w:jc w:val="both"/>
      </w:pPr>
      <w:r>
        <w:t>13.2.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0378DE84">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w:t>
      </w:r>
      <w:r>
        <w:br w:type="textWrapping"/>
      </w:r>
      <w:r>
        <w:t xml:space="preserve">13 Контракта, соответствующая Сторона обязуется уведомить об этом другую Сторону </w:t>
      </w:r>
      <w:r>
        <w:br w:type="textWrapping"/>
      </w:r>
      <w:r>
        <w:t>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1844CAEA">
      <w:pPr>
        <w:widowControl w:val="0"/>
        <w:tabs>
          <w:tab w:val="left" w:pos="142"/>
          <w:tab w:val="left" w:pos="360"/>
          <w:tab w:val="left" w:pos="851"/>
          <w:tab w:val="left" w:pos="1134"/>
          <w:tab w:val="left" w:pos="1276"/>
          <w:tab w:val="left" w:pos="1418"/>
        </w:tabs>
        <w:ind w:firstLine="720"/>
        <w:jc w:val="both"/>
      </w:pPr>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w:t>
      </w:r>
      <w:r>
        <w:br w:type="textWrapping"/>
      </w:r>
      <w:r>
        <w:t xml:space="preserve">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w:t>
      </w:r>
      <w:r>
        <w:br w:type="textWrapping"/>
      </w:r>
      <w:r>
        <w:t>и международных актов о противодействии коррупции.</w:t>
      </w:r>
    </w:p>
    <w:p w14:paraId="1995A82B">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1A787779">
      <w:pPr>
        <w:widowControl w:val="0"/>
        <w:ind w:firstLine="709"/>
        <w:jc w:val="both"/>
        <w:rPr>
          <w:b/>
          <w:bCs/>
        </w:rPr>
      </w:pPr>
    </w:p>
    <w:p w14:paraId="4F3CC232">
      <w:pPr>
        <w:widowControl w:val="0"/>
        <w:jc w:val="center"/>
        <w:rPr>
          <w:b/>
          <w:bCs/>
        </w:rPr>
      </w:pPr>
      <w:r>
        <w:rPr>
          <w:b/>
          <w:bCs/>
        </w:rPr>
        <w:t>14. ЗАКЛЮЧИТЕЛЬНЫЕ ПОЛОЖЕНИЯ</w:t>
      </w:r>
    </w:p>
    <w:p w14:paraId="501BE386">
      <w:pPr>
        <w:tabs>
          <w:tab w:val="left" w:pos="709"/>
        </w:tabs>
        <w:ind w:firstLine="709"/>
        <w:jc w:val="both"/>
      </w:pPr>
      <w:r>
        <w:t>14.1. Настоящий Контракт заключен в электронной форме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3A74B24A">
      <w:pPr>
        <w:ind w:firstLine="709"/>
        <w:jc w:val="both"/>
      </w:pPr>
      <w:r>
        <w:t xml:space="preserve">14.2. Изменение существенных условий Контракта при его исполнении </w:t>
      </w:r>
      <w:r>
        <w:br w:type="textWrapping"/>
      </w:r>
      <w:r>
        <w:t xml:space="preserve">не допускается, за исключением их изменения по соглашению сторон в случаях, предусмотренных статьей 95 Федерального закона от 05.04.2013 № 44-ФЗ </w:t>
      </w:r>
      <w:r>
        <w:br w:type="textWrapping"/>
      </w:r>
      <w:r>
        <w:t>«О контрактной системе в сфере закупок товаров, работ, услуг для обеспечения государственных и муниципальных нужд»:</w:t>
      </w:r>
    </w:p>
    <w:p w14:paraId="5CA56EDB">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14:paraId="42012384">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B2C95D4">
      <w:pPr>
        <w:ind w:firstLine="709"/>
        <w:jc w:val="both"/>
      </w:pPr>
      <w:r>
        <w:t xml:space="preserve">14.3. При изменении у какой-либо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w:t>
      </w:r>
      <w:r>
        <w:br w:type="textWrapping"/>
      </w:r>
      <w:r>
        <w:t>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14:paraId="51D32EE9">
      <w:pPr>
        <w:pStyle w:val="33"/>
        <w:ind w:firstLine="709"/>
        <w:jc w:val="both"/>
        <w:rPr>
          <w:rFonts w:ascii="Times New Roman" w:hAnsi="Times New Roman" w:cs="Times New Roman"/>
          <w:sz w:val="24"/>
          <w:szCs w:val="24"/>
        </w:rPr>
      </w:pPr>
      <w:r>
        <w:rPr>
          <w:rFonts w:ascii="Times New Roman" w:hAnsi="Times New Roman" w:cs="Times New Roman"/>
          <w:sz w:val="24"/>
          <w:szCs w:val="24"/>
        </w:rPr>
        <w:t xml:space="preserve">14.4. При исполнении Контракта не допускается перемена Исполнителя, </w:t>
      </w:r>
      <w:r>
        <w:rPr>
          <w:rFonts w:ascii="Times New Roman" w:hAnsi="Times New Roman" w:cs="Times New Roman"/>
          <w:sz w:val="24"/>
          <w:szCs w:val="24"/>
        </w:rPr>
        <w:br w:type="textWrapping"/>
      </w:r>
      <w:r>
        <w:rPr>
          <w:rFonts w:ascii="Times New Roman" w:hAnsi="Times New Roman" w:cs="Times New Roman"/>
          <w:sz w:val="24"/>
          <w:szCs w:val="24"/>
        </w:rPr>
        <w:t xml:space="preserve">за исключением случая, если новый исполнитель является правопреемником Исполнителя по такому Контракту вследствие реорганизации юридического лица </w:t>
      </w:r>
      <w:r>
        <w:rPr>
          <w:rFonts w:ascii="Times New Roman" w:hAnsi="Times New Roman" w:cs="Times New Roman"/>
          <w:sz w:val="24"/>
          <w:szCs w:val="24"/>
        </w:rPr>
        <w:br w:type="textWrapping"/>
      </w:r>
      <w:r>
        <w:rPr>
          <w:rFonts w:ascii="Times New Roman" w:hAnsi="Times New Roman" w:cs="Times New Roman"/>
          <w:sz w:val="24"/>
          <w:szCs w:val="24"/>
        </w:rPr>
        <w:t>в форме преобразования, слияния или присоединения.</w:t>
      </w:r>
    </w:p>
    <w:p w14:paraId="27552716">
      <w:pPr>
        <w:ind w:firstLine="709"/>
        <w:jc w:val="both"/>
      </w:pPr>
      <w:r>
        <w:t>14.5.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14:paraId="33C79A1D">
      <w:pPr>
        <w:widowControl w:val="0"/>
        <w:ind w:firstLine="709"/>
        <w:rPr>
          <w:b/>
          <w:bCs/>
        </w:rPr>
      </w:pPr>
    </w:p>
    <w:p w14:paraId="1D5E0A41">
      <w:pPr>
        <w:widowControl w:val="0"/>
        <w:jc w:val="center"/>
        <w:rPr>
          <w:b/>
          <w:bCs/>
        </w:rPr>
      </w:pPr>
      <w:r>
        <w:rPr>
          <w:b/>
          <w:bCs/>
        </w:rPr>
        <w:t>15. ЮРИДИЧЕСКИЕ АДРЕСА, ПЛАТЕЖНЫЕ РЕКВИЗИТЫ, ПЕЧАТИ И ПОДПИСИ СТОРОН</w:t>
      </w:r>
    </w:p>
    <w:p w14:paraId="5971914F">
      <w:pPr>
        <w:widowControl w:val="0"/>
        <w:jc w:val="center"/>
        <w:rPr>
          <w:b/>
          <w:bCs/>
        </w:rP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48BDE651">
        <w:trPr>
          <w:trHeight w:val="291" w:hRule="atLeast"/>
        </w:trPr>
        <w:tc>
          <w:tcPr>
            <w:tcW w:w="5006" w:type="dxa"/>
            <w:shd w:val="clear" w:color="auto" w:fill="auto"/>
          </w:tcPr>
          <w:p w14:paraId="143508D5">
            <w:pPr>
              <w:pStyle w:val="20"/>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14:paraId="7BADF43F">
            <w:pPr>
              <w:widowControl w:val="0"/>
              <w:jc w:val="center"/>
            </w:pPr>
            <w:r>
              <w:rPr>
                <w:bCs/>
              </w:rPr>
              <w:t>Исполнитель</w:t>
            </w:r>
          </w:p>
        </w:tc>
      </w:tr>
      <w:tr w14:paraId="053FB5A1">
        <w:tblPrEx>
          <w:tblCellMar>
            <w:top w:w="0" w:type="dxa"/>
            <w:left w:w="108" w:type="dxa"/>
            <w:bottom w:w="0" w:type="dxa"/>
            <w:right w:w="108" w:type="dxa"/>
          </w:tblCellMar>
        </w:tblPrEx>
        <w:trPr>
          <w:trHeight w:val="5875" w:hRule="atLeast"/>
        </w:trPr>
        <w:tc>
          <w:tcPr>
            <w:tcW w:w="5006" w:type="dxa"/>
            <w:shd w:val="clear" w:color="auto" w:fill="auto"/>
          </w:tcPr>
          <w:p w14:paraId="39ACB616">
            <w:pPr>
              <w:suppressAutoHyphens w:val="0"/>
              <w:rPr>
                <w:lang w:eastAsia="ru-RU"/>
              </w:rPr>
            </w:pPr>
            <w:r>
              <w:rPr>
                <w:lang w:eastAsia="ru-RU"/>
              </w:rPr>
              <w:t>СПб ГБУ«Юго-западное управление региональных дорог и благоустройства»</w:t>
            </w:r>
          </w:p>
          <w:p w14:paraId="32EE31FA">
            <w:pPr>
              <w:suppressAutoHyphens w:val="0"/>
              <w:rPr>
                <w:spacing w:val="-4"/>
                <w:lang w:eastAsia="ru-RU"/>
              </w:rPr>
            </w:pPr>
            <w:r>
              <w:rPr>
                <w:spacing w:val="-4"/>
                <w:lang w:eastAsia="ru-RU"/>
              </w:rPr>
              <w:t>198095, г. Санкт-Петербург, Майков переулок, д.9</w:t>
            </w:r>
          </w:p>
          <w:p w14:paraId="36938B14">
            <w:pPr>
              <w:suppressAutoHyphens w:val="0"/>
              <w:rPr>
                <w:spacing w:val="-4"/>
                <w:lang w:eastAsia="ru-RU"/>
              </w:rPr>
            </w:pPr>
            <w:r>
              <w:rPr>
                <w:spacing w:val="-4"/>
                <w:lang w:eastAsia="ru-RU"/>
              </w:rPr>
              <w:t>ИНН 7805814492, КПП 780501001</w:t>
            </w:r>
          </w:p>
          <w:p w14:paraId="4448F435">
            <w:pPr>
              <w:suppressAutoHyphens w:val="0"/>
              <w:rPr>
                <w:spacing w:val="-4"/>
                <w:lang w:eastAsia="ru-RU"/>
              </w:rPr>
            </w:pPr>
            <w:r>
              <w:rPr>
                <w:spacing w:val="-4"/>
                <w:lang w:eastAsia="ru-RU"/>
              </w:rPr>
              <w:t>ОКПО 87984692, ОГРН 1247800033348</w:t>
            </w:r>
          </w:p>
          <w:p w14:paraId="23E82F3A">
            <w:pPr>
              <w:suppressAutoHyphens w:val="0"/>
              <w:rPr>
                <w:spacing w:val="-4"/>
                <w:lang w:eastAsia="ru-RU"/>
              </w:rPr>
            </w:pPr>
            <w:r>
              <w:rPr>
                <w:spacing w:val="-4"/>
                <w:lang w:eastAsia="ru-RU"/>
              </w:rPr>
              <w:t>ОКТМО 40339000</w:t>
            </w:r>
          </w:p>
          <w:p w14:paraId="3ECFFCC4">
            <w:pPr>
              <w:suppressAutoHyphens w:val="0"/>
              <w:rPr>
                <w:color w:val="000000"/>
              </w:rPr>
            </w:pPr>
            <w:r>
              <w:rPr>
                <w:color w:val="000000"/>
              </w:rPr>
              <w:t>Комитет Финансов Санкт-Петербурга</w:t>
            </w:r>
          </w:p>
          <w:p w14:paraId="6B0B75B6">
            <w:pPr>
              <w:suppressAutoHyphens w:val="0"/>
              <w:rPr>
                <w:lang w:eastAsia="ru-RU"/>
              </w:rPr>
            </w:pPr>
            <w:r>
              <w:rPr>
                <w:lang w:eastAsia="ru-RU"/>
              </w:rPr>
              <w:t>(Юго-западное   управление региональных дорог и  благоустройства)</w:t>
            </w:r>
          </w:p>
          <w:p w14:paraId="41BCAF1F">
            <w:pPr>
              <w:suppressAutoHyphens w:val="0"/>
              <w:rPr>
                <w:spacing w:val="-4"/>
                <w:lang w:eastAsia="ru-RU"/>
              </w:rPr>
            </w:pPr>
            <w:r>
              <w:rPr>
                <w:spacing w:val="-4"/>
                <w:lang w:eastAsia="ru-RU"/>
              </w:rPr>
              <w:t>л/сч. 0901015</w:t>
            </w:r>
          </w:p>
          <w:p w14:paraId="7D557CDB">
            <w:pPr>
              <w:suppressAutoHyphens w:val="0"/>
              <w:rPr>
                <w:spacing w:val="-4"/>
                <w:lang w:eastAsia="ru-RU"/>
              </w:rPr>
            </w:pPr>
            <w:r>
              <w:rPr>
                <w:spacing w:val="-4"/>
                <w:lang w:eastAsia="ru-RU"/>
              </w:rPr>
              <w:t>СЕВЕРО-ЗАПАДНОЕ ГУ БАНКА РОССИИ//УФК по г.Санкт-Петербургу, г.Санкт-Петербург</w:t>
            </w:r>
          </w:p>
          <w:p w14:paraId="4A309652">
            <w:pPr>
              <w:suppressAutoHyphens w:val="0"/>
              <w:rPr>
                <w:spacing w:val="-4"/>
                <w:lang w:eastAsia="ru-RU"/>
              </w:rPr>
            </w:pPr>
            <w:r>
              <w:rPr>
                <w:spacing w:val="-4"/>
                <w:lang w:eastAsia="ru-RU"/>
              </w:rPr>
              <w:t>БИК 014030106</w:t>
            </w:r>
          </w:p>
          <w:p w14:paraId="776FB7FE">
            <w:pPr>
              <w:suppressAutoHyphens w:val="0"/>
              <w:rPr>
                <w:spacing w:val="-4"/>
                <w:lang w:eastAsia="ru-RU"/>
              </w:rPr>
            </w:pPr>
            <w:r>
              <w:rPr>
                <w:spacing w:val="-4"/>
                <w:lang w:eastAsia="ru-RU"/>
              </w:rPr>
              <w:t>Банковский счет 40102810945370000005</w:t>
            </w:r>
          </w:p>
          <w:p w14:paraId="2FF2ABD7">
            <w:pPr>
              <w:suppressAutoHyphens w:val="0"/>
              <w:rPr>
                <w:spacing w:val="-4"/>
                <w:lang w:eastAsia="ru-RU"/>
              </w:rPr>
            </w:pPr>
            <w:r>
              <w:rPr>
                <w:spacing w:val="-4"/>
                <w:lang w:eastAsia="ru-RU"/>
              </w:rPr>
              <w:t>Казначейский счет 03224643400000007200</w:t>
            </w:r>
          </w:p>
          <w:p w14:paraId="02F3B9D0">
            <w:pPr>
              <w:rPr>
                <w:spacing w:val="-4"/>
                <w:lang w:eastAsia="ru-RU"/>
              </w:rPr>
            </w:pPr>
            <w:r>
              <w:rPr>
                <w:spacing w:val="-4"/>
                <w:lang w:eastAsia="ru-RU"/>
              </w:rPr>
              <w:t>Тел.:+7(812)</w:t>
            </w:r>
            <w:r>
              <w:rPr>
                <w:spacing w:val="-4"/>
                <w:lang w:val="en-US" w:eastAsia="ru-RU"/>
              </w:rPr>
              <w:t xml:space="preserve"> </w:t>
            </w:r>
            <w:r>
              <w:rPr>
                <w:spacing w:val="-4"/>
                <w:lang w:eastAsia="ru-RU"/>
              </w:rPr>
              <w:t>252-61-18</w:t>
            </w:r>
          </w:p>
          <w:p w14:paraId="1178F634">
            <w:pPr>
              <w:rPr>
                <w:lang w:val="en-US"/>
              </w:rPr>
            </w:pPr>
            <w:r>
              <w:rPr>
                <w:spacing w:val="-4"/>
                <w:lang w:val="en-US" w:eastAsia="ru-RU"/>
              </w:rPr>
              <w:t xml:space="preserve">E-mail: </w:t>
            </w:r>
            <w:r>
              <w:rPr>
                <w:lang w:val="en-US"/>
              </w:rPr>
              <w:t xml:space="preserve">uz@urdb.ru                                </w:t>
            </w:r>
          </w:p>
        </w:tc>
        <w:tc>
          <w:tcPr>
            <w:tcW w:w="5006" w:type="dxa"/>
            <w:shd w:val="clear" w:color="auto" w:fill="auto"/>
          </w:tcPr>
          <w:p w14:paraId="62FF67C9">
            <w:pPr>
              <w:widowControl w:val="0"/>
              <w:snapToGrid w:val="0"/>
              <w:rPr>
                <w:lang w:val="en-US"/>
              </w:rPr>
            </w:pPr>
          </w:p>
          <w:p w14:paraId="7B7CC8F9">
            <w:pPr>
              <w:widowControl w:val="0"/>
              <w:rPr>
                <w:lang w:val="en-US"/>
              </w:rPr>
            </w:pPr>
          </w:p>
          <w:p w14:paraId="7DA33091">
            <w:pPr>
              <w:widowControl w:val="0"/>
              <w:rPr>
                <w:lang w:val="en-US"/>
              </w:rPr>
            </w:pPr>
          </w:p>
          <w:p w14:paraId="5ACFF172">
            <w:pPr>
              <w:widowControl w:val="0"/>
              <w:rPr>
                <w:lang w:val="en-US"/>
              </w:rPr>
            </w:pPr>
          </w:p>
          <w:p w14:paraId="682CCC85">
            <w:pPr>
              <w:widowControl w:val="0"/>
              <w:rPr>
                <w:lang w:val="en-US"/>
              </w:rPr>
            </w:pPr>
          </w:p>
          <w:p w14:paraId="48AAB9B1">
            <w:pPr>
              <w:widowControl w:val="0"/>
              <w:rPr>
                <w:lang w:val="en-US"/>
              </w:rPr>
            </w:pPr>
          </w:p>
          <w:p w14:paraId="7B54E85C">
            <w:pPr>
              <w:widowControl w:val="0"/>
              <w:rPr>
                <w:lang w:val="en-US"/>
              </w:rPr>
            </w:pPr>
          </w:p>
          <w:p w14:paraId="7B819FFD">
            <w:pPr>
              <w:widowControl w:val="0"/>
              <w:rPr>
                <w:lang w:val="en-US"/>
              </w:rPr>
            </w:pPr>
          </w:p>
          <w:p w14:paraId="204A8450">
            <w:pPr>
              <w:widowControl w:val="0"/>
              <w:rPr>
                <w:lang w:val="en-US"/>
              </w:rPr>
            </w:pPr>
          </w:p>
        </w:tc>
      </w:tr>
    </w:tbl>
    <w:p w14:paraId="02079B4A">
      <w:pPr>
        <w:shd w:val="clear" w:color="auto" w:fill="FFFFFF"/>
        <w:jc w:val="right"/>
        <w:rPr>
          <w:spacing w:val="-2"/>
          <w:lang w:val="en-US"/>
        </w:rPr>
      </w:pPr>
    </w:p>
    <w:p w14:paraId="35030335">
      <w:pPr>
        <w:shd w:val="clear" w:color="auto" w:fill="FFFFFF"/>
        <w:jc w:val="right"/>
        <w:rPr>
          <w:spacing w:val="-2"/>
          <w:lang w:val="en-US"/>
        </w:rPr>
      </w:pPr>
    </w:p>
    <w:p w14:paraId="53816082">
      <w:pPr>
        <w:shd w:val="clear" w:color="auto" w:fill="FFFFFF"/>
        <w:jc w:val="right"/>
        <w:rPr>
          <w:spacing w:val="-2"/>
          <w:lang w:val="en-US"/>
        </w:rPr>
      </w:pPr>
    </w:p>
    <w:p w14:paraId="13EBA3EE">
      <w:pPr>
        <w:shd w:val="clear" w:color="auto" w:fill="FFFFFF"/>
        <w:jc w:val="right"/>
        <w:rPr>
          <w:spacing w:val="-2"/>
          <w:lang w:val="en-US"/>
        </w:rPr>
      </w:pPr>
    </w:p>
    <w:p w14:paraId="524F6FE8">
      <w:pPr>
        <w:shd w:val="clear" w:color="auto" w:fill="FFFFFF"/>
        <w:jc w:val="right"/>
        <w:rPr>
          <w:spacing w:val="-2"/>
          <w:lang w:val="en-US"/>
        </w:rPr>
      </w:pPr>
    </w:p>
    <w:p w14:paraId="0C285492">
      <w:pPr>
        <w:shd w:val="clear" w:color="auto" w:fill="FFFFFF"/>
        <w:jc w:val="right"/>
        <w:rPr>
          <w:spacing w:val="-2"/>
          <w:lang w:val="en-US"/>
        </w:rPr>
      </w:pPr>
    </w:p>
    <w:p w14:paraId="669676DC">
      <w:pPr>
        <w:shd w:val="clear" w:color="auto" w:fill="FFFFFF"/>
        <w:jc w:val="right"/>
        <w:rPr>
          <w:spacing w:val="-2"/>
          <w:lang w:val="en-US"/>
        </w:rPr>
      </w:pPr>
      <w:r>
        <w:rPr>
          <w:spacing w:val="-2"/>
          <w:lang w:val="en-US"/>
        </w:rPr>
        <w:br w:type="textWrapping"/>
      </w:r>
    </w:p>
    <w:p w14:paraId="79210587">
      <w:pPr>
        <w:shd w:val="clear" w:color="auto" w:fill="FFFFFF"/>
        <w:jc w:val="right"/>
        <w:rPr>
          <w:spacing w:val="-2"/>
          <w:lang w:val="en-US"/>
        </w:rPr>
      </w:pPr>
    </w:p>
    <w:p w14:paraId="132A6CAB">
      <w:pPr>
        <w:shd w:val="clear" w:color="auto" w:fill="FFFFFF"/>
        <w:jc w:val="right"/>
        <w:rPr>
          <w:spacing w:val="-2"/>
          <w:lang w:val="en-US"/>
        </w:rPr>
      </w:pPr>
    </w:p>
    <w:p w14:paraId="7181B811">
      <w:pPr>
        <w:shd w:val="clear" w:color="auto" w:fill="FFFFFF"/>
        <w:jc w:val="right"/>
        <w:rPr>
          <w:spacing w:val="-2"/>
          <w:lang w:val="en-US"/>
        </w:rPr>
      </w:pPr>
    </w:p>
    <w:p w14:paraId="643B6BD0">
      <w:pPr>
        <w:shd w:val="clear" w:color="auto" w:fill="FFFFFF"/>
        <w:jc w:val="right"/>
        <w:rPr>
          <w:spacing w:val="-2"/>
          <w:lang w:val="en-US"/>
        </w:rPr>
      </w:pPr>
    </w:p>
    <w:p w14:paraId="51EADAEF">
      <w:pPr>
        <w:shd w:val="clear" w:color="auto" w:fill="FFFFFF"/>
        <w:jc w:val="right"/>
        <w:rPr>
          <w:spacing w:val="-2"/>
          <w:lang w:val="en-US"/>
        </w:rPr>
      </w:pPr>
    </w:p>
    <w:p w14:paraId="0514D818">
      <w:pPr>
        <w:shd w:val="clear" w:color="auto" w:fill="FFFFFF"/>
        <w:jc w:val="right"/>
        <w:rPr>
          <w:spacing w:val="-2"/>
          <w:lang w:val="en-US"/>
        </w:rPr>
      </w:pPr>
    </w:p>
    <w:p w14:paraId="1A5D4022">
      <w:pPr>
        <w:shd w:val="clear" w:color="auto" w:fill="FFFFFF"/>
        <w:jc w:val="right"/>
        <w:rPr>
          <w:spacing w:val="-2"/>
          <w:lang w:val="en-US"/>
        </w:rPr>
      </w:pPr>
    </w:p>
    <w:p w14:paraId="24D6F7DC">
      <w:pPr>
        <w:shd w:val="clear" w:color="auto" w:fill="FFFFFF"/>
        <w:jc w:val="right"/>
        <w:rPr>
          <w:spacing w:val="-2"/>
          <w:lang w:val="en-US"/>
        </w:rPr>
      </w:pPr>
    </w:p>
    <w:p w14:paraId="00EE15E0">
      <w:pPr>
        <w:shd w:val="clear" w:color="auto" w:fill="FFFFFF"/>
        <w:jc w:val="right"/>
        <w:rPr>
          <w:spacing w:val="-2"/>
          <w:lang w:val="en-US"/>
        </w:rPr>
      </w:pPr>
    </w:p>
    <w:p w14:paraId="48AC41B9">
      <w:pPr>
        <w:shd w:val="clear" w:color="auto" w:fill="FFFFFF"/>
        <w:jc w:val="right"/>
        <w:rPr>
          <w:spacing w:val="-2"/>
          <w:lang w:val="en-US"/>
        </w:rPr>
      </w:pPr>
    </w:p>
    <w:p w14:paraId="461CF79B">
      <w:pPr>
        <w:shd w:val="clear" w:color="auto" w:fill="FFFFFF"/>
        <w:jc w:val="right"/>
        <w:rPr>
          <w:spacing w:val="-2"/>
          <w:lang w:val="en-US"/>
        </w:rPr>
      </w:pPr>
    </w:p>
    <w:p w14:paraId="0DB117B0">
      <w:pPr>
        <w:shd w:val="clear" w:color="auto" w:fill="FFFFFF"/>
        <w:jc w:val="right"/>
        <w:rPr>
          <w:spacing w:val="-2"/>
          <w:lang w:val="en-US"/>
        </w:rPr>
      </w:pPr>
    </w:p>
    <w:p w14:paraId="1A2C6F06">
      <w:pPr>
        <w:shd w:val="clear" w:color="auto" w:fill="FFFFFF"/>
        <w:jc w:val="right"/>
        <w:rPr>
          <w:spacing w:val="-2"/>
          <w:lang w:val="en-US"/>
        </w:rPr>
      </w:pPr>
    </w:p>
    <w:p w14:paraId="0F7DF958">
      <w:pPr>
        <w:shd w:val="clear" w:color="auto" w:fill="FFFFFF"/>
        <w:jc w:val="right"/>
        <w:rPr>
          <w:spacing w:val="-2"/>
        </w:rPr>
      </w:pPr>
    </w:p>
    <w:p w14:paraId="41DBDEF5">
      <w:pPr>
        <w:shd w:val="clear" w:color="auto" w:fill="FFFFFF"/>
        <w:jc w:val="right"/>
        <w:rPr>
          <w:spacing w:val="-2"/>
        </w:rPr>
      </w:pPr>
    </w:p>
    <w:p w14:paraId="7A2BB3EE">
      <w:pPr>
        <w:shd w:val="clear" w:color="auto" w:fill="FFFFFF"/>
        <w:jc w:val="right"/>
        <w:rPr>
          <w:spacing w:val="-2"/>
        </w:rPr>
      </w:pPr>
    </w:p>
    <w:p w14:paraId="10631427">
      <w:pPr>
        <w:shd w:val="clear" w:color="auto" w:fill="FFFFFF"/>
        <w:jc w:val="right"/>
        <w:rPr>
          <w:spacing w:val="-2"/>
        </w:rPr>
      </w:pPr>
    </w:p>
    <w:p w14:paraId="0714138F">
      <w:pPr>
        <w:shd w:val="clear" w:color="auto" w:fill="FFFFFF"/>
        <w:jc w:val="right"/>
        <w:rPr>
          <w:spacing w:val="-2"/>
        </w:rPr>
      </w:pPr>
    </w:p>
    <w:p w14:paraId="13F3FD1E">
      <w:pPr>
        <w:shd w:val="clear" w:color="auto" w:fill="FFFFFF"/>
        <w:jc w:val="right"/>
        <w:rPr>
          <w:spacing w:val="-2"/>
        </w:rPr>
      </w:pPr>
      <w:r>
        <w:rPr>
          <w:spacing w:val="-2"/>
        </w:rPr>
        <w:t>Приложение №1</w:t>
      </w:r>
    </w:p>
    <w:p w14:paraId="5B0266DF">
      <w:pPr>
        <w:shd w:val="clear" w:color="auto" w:fill="FFFFFF"/>
        <w:jc w:val="right"/>
        <w:rPr>
          <w:spacing w:val="-2"/>
        </w:rPr>
      </w:pPr>
      <w:r>
        <w:rPr>
          <w:spacing w:val="-2"/>
        </w:rPr>
        <w:t>к государственному контракту</w:t>
      </w:r>
    </w:p>
    <w:p w14:paraId="3D549830">
      <w:pPr>
        <w:shd w:val="clear" w:color="auto" w:fill="FFFFFF"/>
        <w:jc w:val="right"/>
      </w:pPr>
      <w:r>
        <w:rPr>
          <w:spacing w:val="-2"/>
        </w:rPr>
        <w:t xml:space="preserve">№ </w:t>
      </w:r>
      <w:r>
        <w:rPr>
          <w:spacing w:val="-7"/>
        </w:rPr>
        <w:t>____ от  ____</w:t>
      </w:r>
      <w:r>
        <w:t xml:space="preserve"> г.</w:t>
      </w:r>
    </w:p>
    <w:p w14:paraId="47E1BA14">
      <w:pPr>
        <w:shd w:val="clear" w:color="auto" w:fill="FFFFFF"/>
        <w:ind w:right="22"/>
        <w:jc w:val="center"/>
        <w:rPr>
          <w:b/>
        </w:rPr>
      </w:pPr>
      <w:r>
        <w:rPr>
          <w:b/>
        </w:rPr>
        <w:t>СПЕЦИФИКАЦИЯ</w:t>
      </w:r>
    </w:p>
    <w:tbl>
      <w:tblPr>
        <w:tblStyle w:val="3"/>
        <w:tblW w:w="10673" w:type="dxa"/>
        <w:tblInd w:w="-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631"/>
        <w:gridCol w:w="4111"/>
        <w:gridCol w:w="1275"/>
        <w:gridCol w:w="852"/>
        <w:gridCol w:w="1135"/>
        <w:gridCol w:w="1135"/>
      </w:tblGrid>
      <w:tr w14:paraId="0AB8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534" w:type="dxa"/>
            <w:tcBorders>
              <w:top w:val="single" w:color="auto" w:sz="4" w:space="0"/>
              <w:left w:val="single" w:color="auto" w:sz="4" w:space="0"/>
              <w:bottom w:val="single" w:color="auto" w:sz="4" w:space="0"/>
              <w:right w:val="single" w:color="auto" w:sz="4" w:space="0"/>
            </w:tcBorders>
          </w:tcPr>
          <w:p w14:paraId="447EE573">
            <w:pPr>
              <w:jc w:val="center"/>
              <w:rPr>
                <w:b/>
                <w:bCs/>
                <w:sz w:val="21"/>
                <w:szCs w:val="21"/>
              </w:rPr>
            </w:pPr>
            <w:r>
              <w:rPr>
                <w:b/>
                <w:bCs/>
                <w:sz w:val="21"/>
                <w:szCs w:val="21"/>
              </w:rPr>
              <w:t>№ п/п</w:t>
            </w:r>
          </w:p>
        </w:tc>
        <w:tc>
          <w:tcPr>
            <w:tcW w:w="1631" w:type="dxa"/>
            <w:tcBorders>
              <w:top w:val="single" w:color="auto" w:sz="4" w:space="0"/>
              <w:left w:val="single" w:color="auto" w:sz="4" w:space="0"/>
              <w:bottom w:val="single" w:color="auto" w:sz="4" w:space="0"/>
              <w:right w:val="single" w:color="auto" w:sz="4" w:space="0"/>
            </w:tcBorders>
            <w:vAlign w:val="center"/>
          </w:tcPr>
          <w:p w14:paraId="741461EB">
            <w:pPr>
              <w:jc w:val="center"/>
              <w:rPr>
                <w:b/>
                <w:sz w:val="21"/>
                <w:szCs w:val="21"/>
              </w:rPr>
            </w:pPr>
            <w:r>
              <w:rPr>
                <w:b/>
                <w:sz w:val="21"/>
                <w:szCs w:val="21"/>
              </w:rPr>
              <w:t xml:space="preserve">Наименование услуги </w:t>
            </w:r>
          </w:p>
          <w:p w14:paraId="009E26B8">
            <w:pPr>
              <w:jc w:val="center"/>
              <w:rPr>
                <w:b/>
                <w:bCs/>
                <w:sz w:val="21"/>
                <w:szCs w:val="21"/>
              </w:rPr>
            </w:pPr>
          </w:p>
        </w:tc>
        <w:tc>
          <w:tcPr>
            <w:tcW w:w="4111" w:type="dxa"/>
            <w:tcBorders>
              <w:top w:val="single" w:color="auto" w:sz="4" w:space="0"/>
              <w:left w:val="single" w:color="auto" w:sz="4" w:space="0"/>
              <w:bottom w:val="single" w:color="auto" w:sz="4" w:space="0"/>
              <w:right w:val="single" w:color="auto" w:sz="4" w:space="0"/>
            </w:tcBorders>
            <w:vAlign w:val="center"/>
          </w:tcPr>
          <w:p w14:paraId="2BCCF7AD">
            <w:pPr>
              <w:jc w:val="center"/>
              <w:rPr>
                <w:sz w:val="21"/>
                <w:szCs w:val="21"/>
              </w:rPr>
            </w:pPr>
            <w:r>
              <w:rPr>
                <w:b/>
                <w:bCs/>
                <w:sz w:val="21"/>
                <w:szCs w:val="21"/>
              </w:rPr>
              <w:t>Описание услуги</w:t>
            </w:r>
          </w:p>
        </w:tc>
        <w:tc>
          <w:tcPr>
            <w:tcW w:w="1275" w:type="dxa"/>
            <w:tcBorders>
              <w:top w:val="single" w:color="auto" w:sz="4" w:space="0"/>
              <w:left w:val="single" w:color="auto" w:sz="4" w:space="0"/>
              <w:bottom w:val="single" w:color="auto" w:sz="4" w:space="0"/>
              <w:right w:val="single" w:color="auto" w:sz="4" w:space="0"/>
            </w:tcBorders>
            <w:vAlign w:val="center"/>
          </w:tcPr>
          <w:p w14:paraId="67B11173">
            <w:pPr>
              <w:jc w:val="center"/>
              <w:rPr>
                <w:b/>
                <w:bCs/>
                <w:sz w:val="21"/>
                <w:szCs w:val="21"/>
              </w:rPr>
            </w:pPr>
            <w:r>
              <w:rPr>
                <w:b/>
                <w:bCs/>
                <w:sz w:val="21"/>
                <w:szCs w:val="21"/>
              </w:rPr>
              <w:t xml:space="preserve">Единица измерения </w:t>
            </w:r>
          </w:p>
        </w:tc>
        <w:tc>
          <w:tcPr>
            <w:tcW w:w="852" w:type="dxa"/>
            <w:tcBorders>
              <w:top w:val="single" w:color="auto" w:sz="4" w:space="0"/>
              <w:left w:val="single" w:color="auto" w:sz="4" w:space="0"/>
              <w:bottom w:val="single" w:color="auto" w:sz="4" w:space="0"/>
              <w:right w:val="single" w:color="auto" w:sz="4" w:space="0"/>
            </w:tcBorders>
            <w:vAlign w:val="center"/>
          </w:tcPr>
          <w:p w14:paraId="6E580D68">
            <w:pPr>
              <w:jc w:val="center"/>
              <w:rPr>
                <w:sz w:val="21"/>
                <w:szCs w:val="21"/>
              </w:rPr>
            </w:pPr>
            <w:r>
              <w:rPr>
                <w:b/>
                <w:bCs/>
                <w:sz w:val="21"/>
                <w:szCs w:val="21"/>
              </w:rPr>
              <w:t>Количество</w:t>
            </w:r>
          </w:p>
        </w:tc>
        <w:tc>
          <w:tcPr>
            <w:tcW w:w="1135" w:type="dxa"/>
            <w:tcBorders>
              <w:top w:val="single" w:color="auto" w:sz="4" w:space="0"/>
              <w:left w:val="single" w:color="auto" w:sz="4" w:space="0"/>
              <w:bottom w:val="single" w:color="auto" w:sz="4" w:space="0"/>
              <w:right w:val="single" w:color="auto" w:sz="4" w:space="0"/>
            </w:tcBorders>
          </w:tcPr>
          <w:p w14:paraId="78C7BA81">
            <w:pPr>
              <w:jc w:val="center"/>
              <w:rPr>
                <w:b/>
                <w:bCs/>
                <w:sz w:val="21"/>
                <w:szCs w:val="21"/>
              </w:rPr>
            </w:pPr>
            <w:r>
              <w:rPr>
                <w:b/>
                <w:bCs/>
                <w:sz w:val="21"/>
                <w:szCs w:val="21"/>
              </w:rPr>
              <w:t>Цена за ед., руб.</w:t>
            </w:r>
          </w:p>
        </w:tc>
        <w:tc>
          <w:tcPr>
            <w:tcW w:w="1135" w:type="dxa"/>
            <w:tcBorders>
              <w:top w:val="single" w:color="auto" w:sz="4" w:space="0"/>
              <w:left w:val="single" w:color="auto" w:sz="4" w:space="0"/>
              <w:bottom w:val="single" w:color="auto" w:sz="4" w:space="0"/>
              <w:right w:val="single" w:color="auto" w:sz="4" w:space="0"/>
            </w:tcBorders>
          </w:tcPr>
          <w:p w14:paraId="6AF08EFC">
            <w:pPr>
              <w:jc w:val="center"/>
              <w:rPr>
                <w:b/>
                <w:bCs/>
                <w:sz w:val="21"/>
                <w:szCs w:val="21"/>
              </w:rPr>
            </w:pPr>
            <w:r>
              <w:rPr>
                <w:b/>
                <w:bCs/>
                <w:sz w:val="21"/>
                <w:szCs w:val="21"/>
              </w:rPr>
              <w:t>Стоимость</w:t>
            </w:r>
          </w:p>
        </w:tc>
      </w:tr>
      <w:tr w14:paraId="7CAE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34" w:type="dxa"/>
            <w:tcBorders>
              <w:top w:val="single" w:color="auto" w:sz="4" w:space="0"/>
              <w:left w:val="single" w:color="auto" w:sz="4" w:space="0"/>
              <w:bottom w:val="single" w:color="auto" w:sz="4" w:space="0"/>
              <w:right w:val="single" w:color="auto" w:sz="4" w:space="0"/>
            </w:tcBorders>
          </w:tcPr>
          <w:p w14:paraId="2D4DB341">
            <w:pPr>
              <w:jc w:val="center"/>
              <w:rPr>
                <w:bCs/>
              </w:rPr>
            </w:pPr>
            <w:r>
              <w:rPr>
                <w:bCs/>
              </w:rPr>
              <w:t>1</w:t>
            </w:r>
          </w:p>
        </w:tc>
        <w:tc>
          <w:tcPr>
            <w:tcW w:w="1631" w:type="dxa"/>
            <w:tcBorders>
              <w:top w:val="single" w:color="auto" w:sz="4" w:space="0"/>
              <w:left w:val="single" w:color="auto" w:sz="4" w:space="0"/>
              <w:bottom w:val="single" w:color="auto" w:sz="4" w:space="0"/>
              <w:right w:val="single" w:color="auto" w:sz="4" w:space="0"/>
            </w:tcBorders>
          </w:tcPr>
          <w:p w14:paraId="2BCBC791">
            <w:pPr>
              <w:jc w:val="center"/>
              <w:rPr>
                <w:rFonts w:eastAsia="Calibri"/>
              </w:rPr>
            </w:pPr>
            <w:r>
              <w:rPr>
                <w:spacing w:val="-7"/>
              </w:rPr>
              <w:t xml:space="preserve">услуги </w:t>
            </w:r>
            <w:r>
              <w:t xml:space="preserve">по сбору и обработке информации, услуг по организации предоставления от имени Заказчика </w:t>
            </w:r>
            <w:r>
              <w:br w:type="textWrapping"/>
            </w:r>
            <w:r>
              <w:t>в испытательную лабораторию документов и образцов продукции «концентрированного моющего (чистящего) средства для дорожных покрытий и элементов дорожного хозяйства (шампуня)» (далее – Продукция) для проведения испытаний; получения документов по результатам проведения испытаний лабораторией</w:t>
            </w:r>
          </w:p>
          <w:p w14:paraId="15B18DE1">
            <w:pPr>
              <w:widowControl w:val="0"/>
              <w:tabs>
                <w:tab w:val="left" w:pos="3176"/>
              </w:tabs>
              <w:autoSpaceDE w:val="0"/>
              <w:autoSpaceDN w:val="0"/>
              <w:spacing w:before="240" w:after="160"/>
              <w:contextualSpacing/>
              <w:rPr>
                <w:rFonts w:eastAsia="Calibri"/>
              </w:rPr>
            </w:pPr>
          </w:p>
        </w:tc>
        <w:tc>
          <w:tcPr>
            <w:tcW w:w="4111" w:type="dxa"/>
            <w:tcBorders>
              <w:top w:val="single" w:color="auto" w:sz="4" w:space="0"/>
              <w:left w:val="single" w:color="auto" w:sz="4" w:space="0"/>
              <w:bottom w:val="single" w:color="auto" w:sz="4" w:space="0"/>
              <w:right w:val="single" w:color="auto" w:sz="4" w:space="0"/>
            </w:tcBorders>
          </w:tcPr>
          <w:p w14:paraId="4D434C05">
            <w:pPr>
              <w:autoSpaceDE w:val="0"/>
              <w:autoSpaceDN w:val="0"/>
              <w:adjustRightInd w:val="0"/>
              <w:jc w:val="both"/>
            </w:pPr>
            <w:r>
              <w:t>Основные характеристики проведения Услуги:</w:t>
            </w:r>
          </w:p>
          <w:p w14:paraId="1C6A3748">
            <w:pPr>
              <w:autoSpaceDE w:val="0"/>
              <w:autoSpaceDN w:val="0"/>
              <w:adjustRightInd w:val="0"/>
              <w:jc w:val="both"/>
            </w:pPr>
            <w:r>
              <w:t>1)</w:t>
            </w:r>
            <w:r>
              <w:tab/>
            </w:r>
            <w:r>
              <w:t xml:space="preserve">Средство в химическом отношении должно быть стабильным в воде и на воздухе, не разлагаться с выделением вредных веществ. </w:t>
            </w:r>
          </w:p>
          <w:p w14:paraId="1C4BB024">
            <w:pPr>
              <w:autoSpaceDE w:val="0"/>
              <w:autoSpaceDN w:val="0"/>
              <w:adjustRightInd w:val="0"/>
              <w:jc w:val="both"/>
            </w:pPr>
            <w:r>
              <w:t>2)</w:t>
            </w:r>
            <w:r>
              <w:tab/>
            </w:r>
            <w:r>
              <w:t>Средство не должны быть пожаро- и взрывобезопасным.</w:t>
            </w:r>
          </w:p>
          <w:p w14:paraId="709908F6">
            <w:pPr>
              <w:autoSpaceDE w:val="0"/>
              <w:autoSpaceDN w:val="0"/>
              <w:adjustRightInd w:val="0"/>
              <w:jc w:val="both"/>
            </w:pPr>
            <w:r>
              <w:t>3)</w:t>
            </w:r>
            <w:r>
              <w:tab/>
            </w:r>
            <w:r>
              <w:t>По степени воздействия на организм человека средство должно являться мало опасным продуктом, в соответствии с ГОСТ 12.1.007, относится к веществам 4 класса опасности.</w:t>
            </w:r>
          </w:p>
          <w:p w14:paraId="4EE6AC94">
            <w:pPr>
              <w:autoSpaceDE w:val="0"/>
              <w:autoSpaceDN w:val="0"/>
              <w:adjustRightInd w:val="0"/>
              <w:jc w:val="both"/>
            </w:pPr>
            <w:r>
              <w:t>4)</w:t>
            </w:r>
            <w:r>
              <w:tab/>
            </w:r>
            <w:r>
              <w:t xml:space="preserve">Средство должно быть  полностью биоразлагаемым составом. Компоненты, входящие в состав средства, относятся к классу «быстро разлагаемых» в соответствии с требованиями ГОСТ 32509. </w:t>
            </w:r>
          </w:p>
          <w:p w14:paraId="0D424DE4">
            <w:pPr>
              <w:autoSpaceDE w:val="0"/>
              <w:autoSpaceDN w:val="0"/>
              <w:adjustRightInd w:val="0"/>
              <w:jc w:val="both"/>
            </w:pPr>
            <w:r>
              <w:t>5)</w:t>
            </w:r>
            <w:r>
              <w:tab/>
            </w:r>
            <w:r>
              <w:t>Гигиенические показатели средства, обеспечивающие их безопасность для здоровья человека, окружающей среды должны соответствовать требованиям:</w:t>
            </w:r>
          </w:p>
          <w:p w14:paraId="196C56DA">
            <w:pPr>
              <w:autoSpaceDE w:val="0"/>
              <w:autoSpaceDN w:val="0"/>
              <w:adjustRightInd w:val="0"/>
              <w:jc w:val="both"/>
            </w:pPr>
            <w:r>
              <w:t xml:space="preserve">- Решения Комиссии Таможенного союза от 28.05.2010 N 299, </w:t>
            </w:r>
          </w:p>
          <w:p w14:paraId="083A6228">
            <w:pPr>
              <w:autoSpaceDE w:val="0"/>
              <w:autoSpaceDN w:val="0"/>
              <w:adjustRightInd w:val="0"/>
              <w:jc w:val="both"/>
            </w:pPr>
            <w:r>
              <w:t xml:space="preserve">- ГОСТ 17.1.3.13, </w:t>
            </w:r>
          </w:p>
          <w:p w14:paraId="5C716128">
            <w:pPr>
              <w:autoSpaceDE w:val="0"/>
              <w:autoSpaceDN w:val="0"/>
              <w:adjustRightInd w:val="0"/>
              <w:jc w:val="both"/>
            </w:pPr>
            <w:r>
              <w:t>- ГОСТ 32424-2013,</w:t>
            </w:r>
          </w:p>
          <w:p w14:paraId="1816D234">
            <w:pPr>
              <w:autoSpaceDE w:val="0"/>
              <w:autoSpaceDN w:val="0"/>
              <w:adjustRightInd w:val="0"/>
              <w:jc w:val="both"/>
            </w:pPr>
            <w:r>
              <w:t xml:space="preserve">- Распоряжению Минтранса РФ № ИС-1147-р, </w:t>
            </w:r>
          </w:p>
          <w:p w14:paraId="17E20DFC">
            <w:pPr>
              <w:autoSpaceDE w:val="0"/>
              <w:autoSpaceDN w:val="0"/>
              <w:adjustRightInd w:val="0"/>
              <w:jc w:val="both"/>
            </w:pPr>
            <w:r>
              <w:t xml:space="preserve">- МУ 2.1.7.730-99, </w:t>
            </w:r>
          </w:p>
          <w:p w14:paraId="5D96EA5D">
            <w:pPr>
              <w:autoSpaceDE w:val="0"/>
              <w:autoSpaceDN w:val="0"/>
              <w:adjustRightInd w:val="0"/>
              <w:jc w:val="both"/>
            </w:pPr>
            <w:r>
              <w:t xml:space="preserve">- СанПиН 2.1.3684-21, </w:t>
            </w:r>
          </w:p>
          <w:p w14:paraId="6187D165">
            <w:pPr>
              <w:autoSpaceDE w:val="0"/>
              <w:autoSpaceDN w:val="0"/>
              <w:adjustRightInd w:val="0"/>
              <w:jc w:val="both"/>
            </w:pPr>
            <w:r>
              <w:t xml:space="preserve">- СанПиН 1.2.3685-21. </w:t>
            </w:r>
          </w:p>
          <w:p w14:paraId="0BCE0901">
            <w:pPr>
              <w:autoSpaceDE w:val="0"/>
              <w:autoSpaceDN w:val="0"/>
              <w:adjustRightInd w:val="0"/>
              <w:jc w:val="both"/>
            </w:pPr>
            <w:r>
              <w:t>6) не вступать в химические реакции с различными солями и иными компонентами противогололедных материалов;</w:t>
            </w:r>
          </w:p>
          <w:p w14:paraId="36B762B7">
            <w:pPr>
              <w:autoSpaceDE w:val="0"/>
              <w:autoSpaceDN w:val="0"/>
              <w:adjustRightInd w:val="0"/>
              <w:jc w:val="both"/>
            </w:pPr>
            <w:r>
              <w:t>7) должно содержать пеногаситель;</w:t>
            </w:r>
          </w:p>
          <w:p w14:paraId="745AF035">
            <w:pPr>
              <w:autoSpaceDE w:val="0"/>
              <w:autoSpaceDN w:val="0"/>
              <w:adjustRightInd w:val="0"/>
              <w:jc w:val="both"/>
            </w:pPr>
            <w:r>
              <w:t>8) Использование шампуня не должно приводить к изменению физико-химических свойств обрабатываемых поверхностей и материалов.</w:t>
            </w:r>
          </w:p>
          <w:p w14:paraId="3395F363">
            <w:pPr>
              <w:autoSpaceDE w:val="0"/>
              <w:autoSpaceDN w:val="0"/>
              <w:adjustRightInd w:val="0"/>
              <w:jc w:val="both"/>
            </w:pPr>
            <w:r>
              <w:t xml:space="preserve">9) Средство должно соответствовать ТУ 20.41.32-210-40141638-2020. </w:t>
            </w:r>
          </w:p>
          <w:p w14:paraId="1CF59DC7">
            <w:pPr>
              <w:autoSpaceDE w:val="0"/>
              <w:autoSpaceDN w:val="0"/>
              <w:adjustRightInd w:val="0"/>
              <w:jc w:val="both"/>
            </w:pPr>
          </w:p>
          <w:p w14:paraId="2A3E9CF0">
            <w:pPr>
              <w:autoSpaceDE w:val="0"/>
              <w:autoSpaceDN w:val="0"/>
              <w:adjustRightInd w:val="0"/>
              <w:jc w:val="both"/>
            </w:pPr>
            <w:r>
              <w:t>№</w:t>
            </w:r>
            <w:r>
              <w:tab/>
            </w:r>
            <w:r>
              <w:t>Характеристики</w:t>
            </w:r>
            <w:r>
              <w:tab/>
            </w:r>
            <w:r>
              <w:t>Значение показателей</w:t>
            </w:r>
          </w:p>
          <w:p w14:paraId="53E4FF82">
            <w:pPr>
              <w:autoSpaceDE w:val="0"/>
              <w:autoSpaceDN w:val="0"/>
              <w:adjustRightInd w:val="0"/>
              <w:jc w:val="both"/>
            </w:pPr>
            <w:r>
              <w:t>1</w:t>
            </w:r>
            <w:r>
              <w:tab/>
            </w:r>
            <w:r>
              <w:t>Класс опасности</w:t>
            </w:r>
            <w:r>
              <w:tab/>
            </w:r>
            <w:r>
              <w:t>4 (малоопасное вещество)</w:t>
            </w:r>
          </w:p>
          <w:p w14:paraId="0F73C286">
            <w:pPr>
              <w:autoSpaceDE w:val="0"/>
              <w:autoSpaceDN w:val="0"/>
              <w:adjustRightInd w:val="0"/>
              <w:jc w:val="both"/>
            </w:pPr>
            <w:r>
              <w:t>2</w:t>
            </w:r>
            <w:r>
              <w:tab/>
            </w:r>
            <w:r>
              <w:t>Компоненты, входящие в состав средства Краситель; Мыло (соли жирных кислот)</w:t>
            </w:r>
            <w:r>
              <w:tab/>
            </w:r>
            <w:r>
              <w:t>Краситель; Диоктилсульфосукцинат натрия (Е480) Натриевая соль сульфоянтарной кислоты</w:t>
            </w:r>
          </w:p>
          <w:p w14:paraId="44F6BD31">
            <w:pPr>
              <w:autoSpaceDE w:val="0"/>
              <w:autoSpaceDN w:val="0"/>
              <w:adjustRightInd w:val="0"/>
              <w:jc w:val="both"/>
            </w:pPr>
            <w:r>
              <w:t>3</w:t>
            </w:r>
            <w:r>
              <w:tab/>
            </w:r>
            <w:r>
              <w:t>Этилендиаминтетрауксусная кислота и ее соли</w:t>
            </w:r>
            <w:r>
              <w:tab/>
            </w:r>
            <w:r>
              <w:t>4Na-EDTA – тетранатриевая соль этилендиаминтетрауксусной кислоты Трилон Б (хелат)</w:t>
            </w:r>
          </w:p>
          <w:p w14:paraId="3A4079D3">
            <w:pPr>
              <w:autoSpaceDE w:val="0"/>
              <w:autoSpaceDN w:val="0"/>
              <w:adjustRightInd w:val="0"/>
              <w:jc w:val="both"/>
            </w:pPr>
            <w:r>
              <w:t>4</w:t>
            </w:r>
            <w:r>
              <w:tab/>
            </w:r>
            <w:r>
              <w:t>Неионогенные поверхностно-активные вещества</w:t>
            </w:r>
            <w:r>
              <w:tab/>
            </w:r>
            <w:r>
              <w:t>Cпирты С12-С14 этоксилированные (Неионогенный ПАВ)</w:t>
            </w:r>
          </w:p>
          <w:p w14:paraId="50DCAFF8">
            <w:pPr>
              <w:autoSpaceDE w:val="0"/>
              <w:autoSpaceDN w:val="0"/>
              <w:adjustRightInd w:val="0"/>
              <w:jc w:val="both"/>
            </w:pPr>
            <w:r>
              <w:t>5</w:t>
            </w:r>
            <w:r>
              <w:tab/>
            </w:r>
            <w:r>
              <w:t>Алифатические углеводороды</w:t>
            </w:r>
            <w:r>
              <w:tab/>
            </w:r>
            <w:r>
              <w:t>Все основные вещества должны быть алифатическими</w:t>
            </w:r>
          </w:p>
          <w:p w14:paraId="070CDAD1">
            <w:pPr>
              <w:autoSpaceDE w:val="0"/>
              <w:autoSpaceDN w:val="0"/>
              <w:adjustRightInd w:val="0"/>
              <w:jc w:val="both"/>
            </w:pPr>
            <w:r>
              <w:t>6</w:t>
            </w:r>
            <w:r>
              <w:tab/>
            </w:r>
            <w:r>
              <w:t>Консерванты</w:t>
            </w:r>
            <w:r>
              <w:tab/>
            </w:r>
            <w:r>
              <w:t>Бензалкония хлорид (Консервант)</w:t>
            </w:r>
          </w:p>
          <w:p w14:paraId="449117C3">
            <w:pPr>
              <w:autoSpaceDE w:val="0"/>
              <w:autoSpaceDN w:val="0"/>
              <w:adjustRightInd w:val="0"/>
              <w:jc w:val="both"/>
            </w:pPr>
            <w:r>
              <w:t>7</w:t>
            </w:r>
            <w:r>
              <w:tab/>
            </w:r>
            <w:r>
              <w:t>Пеногаситель</w:t>
            </w:r>
            <w:r>
              <w:tab/>
            </w:r>
            <w:r>
              <w:t>Содержание менее 0,1%</w:t>
            </w:r>
          </w:p>
          <w:p w14:paraId="04B32E22">
            <w:pPr>
              <w:autoSpaceDE w:val="0"/>
              <w:autoSpaceDN w:val="0"/>
              <w:adjustRightInd w:val="0"/>
              <w:jc w:val="both"/>
            </w:pPr>
            <w:r>
              <w:t>8</w:t>
            </w:r>
            <w:r>
              <w:tab/>
            </w:r>
            <w:r>
              <w:t>Амфотерные поверхностноактивные вещества</w:t>
            </w:r>
            <w:r>
              <w:tab/>
            </w:r>
            <w:r>
              <w:t>Кокамидопропилбетаин (Амфотерный ПАВ) Антистатик</w:t>
            </w:r>
          </w:p>
          <w:p w14:paraId="36992BC8">
            <w:pPr>
              <w:autoSpaceDE w:val="0"/>
              <w:autoSpaceDN w:val="0"/>
              <w:adjustRightInd w:val="0"/>
              <w:jc w:val="both"/>
            </w:pPr>
            <w:r>
              <w:t>9</w:t>
            </w:r>
            <w:r>
              <w:tab/>
            </w:r>
            <w:r>
              <w:t>Анионные поверхностноактивные вещества</w:t>
            </w:r>
            <w:r>
              <w:tab/>
            </w:r>
            <w:r>
              <w:t>Диоктилсульфосукцинат натрия водно-гликолевый раствор (Е480) (Анионный ПАВ)</w:t>
            </w:r>
          </w:p>
          <w:p w14:paraId="5E27AA78">
            <w:pPr>
              <w:autoSpaceDE w:val="0"/>
              <w:autoSpaceDN w:val="0"/>
              <w:adjustRightInd w:val="0"/>
              <w:jc w:val="both"/>
            </w:pPr>
            <w:r>
              <w:t>10</w:t>
            </w:r>
            <w:r>
              <w:tab/>
            </w:r>
            <w:r>
              <w:t>Катионные поверхностноактивные вещества</w:t>
            </w:r>
            <w:r>
              <w:tab/>
            </w:r>
            <w:r>
              <w:t>Алкилдиметилбензиламмония хлорид (Катионный ПАВ) Биоцид, (Консервант)</w:t>
            </w:r>
          </w:p>
          <w:p w14:paraId="53F11DE0">
            <w:pPr>
              <w:autoSpaceDE w:val="0"/>
              <w:autoSpaceDN w:val="0"/>
              <w:adjustRightInd w:val="0"/>
              <w:jc w:val="both"/>
            </w:pPr>
            <w:r>
              <w:t>11</w:t>
            </w:r>
            <w:r>
              <w:tab/>
            </w:r>
            <w:r>
              <w:t xml:space="preserve">Коэффициент сцепления с дорожным покрытием </w:t>
            </w:r>
            <w:r>
              <w:tab/>
            </w:r>
            <w:r>
              <w:t>Больше или равно 0.4</w:t>
            </w:r>
          </w:p>
          <w:p w14:paraId="361D97ED">
            <w:pPr>
              <w:autoSpaceDE w:val="0"/>
              <w:autoSpaceDN w:val="0"/>
              <w:adjustRightInd w:val="0"/>
              <w:jc w:val="both"/>
            </w:pPr>
            <w:r>
              <w:t>12</w:t>
            </w:r>
            <w:r>
              <w:tab/>
            </w:r>
            <w:r>
              <w:t>Моющая способность</w:t>
            </w:r>
            <w:r>
              <w:tab/>
            </w:r>
            <w:r>
              <w:t>Больше или равно 85 %</w:t>
            </w:r>
          </w:p>
          <w:p w14:paraId="424C93D2">
            <w:pPr>
              <w:autoSpaceDE w:val="0"/>
              <w:autoSpaceDN w:val="0"/>
              <w:adjustRightInd w:val="0"/>
              <w:jc w:val="both"/>
            </w:pPr>
            <w:r>
              <w:t>13</w:t>
            </w:r>
            <w:r>
              <w:tab/>
            </w:r>
            <w:r>
              <w:t>Показатель активности водородных ионов (pH):</w:t>
            </w:r>
            <w:r>
              <w:tab/>
            </w:r>
            <w:r>
              <w:t>&gt;= 8 ≤ 9</w:t>
            </w:r>
          </w:p>
          <w:p w14:paraId="1311A691">
            <w:pPr>
              <w:autoSpaceDE w:val="0"/>
              <w:autoSpaceDN w:val="0"/>
              <w:adjustRightInd w:val="0"/>
              <w:jc w:val="both"/>
            </w:pPr>
            <w:r>
              <w:t>14</w:t>
            </w:r>
            <w:r>
              <w:tab/>
            </w:r>
            <w:r>
              <w:t>Рабочая концентрация (количество долей воды к одной доле концентрата):</w:t>
            </w:r>
            <w:r>
              <w:tab/>
            </w:r>
            <w:r>
              <w:t>Больше или равно 1000</w:t>
            </w:r>
          </w:p>
          <w:p w14:paraId="5F8A557C">
            <w:pPr>
              <w:autoSpaceDE w:val="0"/>
              <w:autoSpaceDN w:val="0"/>
              <w:adjustRightInd w:val="0"/>
              <w:jc w:val="both"/>
            </w:pPr>
            <w:r>
              <w:t>15</w:t>
            </w:r>
            <w:r>
              <w:tab/>
            </w:r>
            <w:r>
              <w:t>Содержание анионных поверхностно-активных веществ:</w:t>
            </w:r>
            <w:r>
              <w:tab/>
            </w:r>
            <w:r>
              <w:t>&gt;=15 &lt; 30 %</w:t>
            </w:r>
          </w:p>
          <w:p w14:paraId="7D16D2DA">
            <w:pPr>
              <w:autoSpaceDE w:val="0"/>
              <w:autoSpaceDN w:val="0"/>
              <w:adjustRightInd w:val="0"/>
              <w:jc w:val="both"/>
            </w:pPr>
            <w:r>
              <w:t>16</w:t>
            </w:r>
            <w:r>
              <w:tab/>
            </w:r>
            <w:r>
              <w:t xml:space="preserve">Содержание катионных поверхностно-активных веществ: </w:t>
            </w:r>
            <w:r>
              <w:tab/>
            </w:r>
            <w:r>
              <w:t>&gt;= 0 &lt; 5 %</w:t>
            </w:r>
          </w:p>
          <w:p w14:paraId="1E24B8B2">
            <w:pPr>
              <w:autoSpaceDE w:val="0"/>
              <w:autoSpaceDN w:val="0"/>
              <w:adjustRightInd w:val="0"/>
              <w:jc w:val="both"/>
            </w:pPr>
            <w:r>
              <w:t>17</w:t>
            </w:r>
            <w:r>
              <w:tab/>
            </w:r>
            <w:r>
              <w:t xml:space="preserve">Содержание неиногенных поверхностно-активных веществ: </w:t>
            </w:r>
            <w:r>
              <w:tab/>
            </w:r>
            <w:r>
              <w:t>&gt;= 5 &lt; 15 %.</w:t>
            </w:r>
          </w:p>
          <w:p w14:paraId="177C67C5">
            <w:pPr>
              <w:autoSpaceDE w:val="0"/>
              <w:autoSpaceDN w:val="0"/>
              <w:adjustRightInd w:val="0"/>
              <w:jc w:val="both"/>
            </w:pPr>
            <w:r>
              <w:t xml:space="preserve">По результат оказанной услуги Исполнитель предоставляет: </w:t>
            </w:r>
          </w:p>
          <w:p w14:paraId="7101D005">
            <w:pPr>
              <w:autoSpaceDE w:val="0"/>
              <w:autoSpaceDN w:val="0"/>
              <w:adjustRightInd w:val="0"/>
              <w:jc w:val="both"/>
            </w:pPr>
            <w:r>
              <w:t>- Акт отбора проб в 1 экземпляре;</w:t>
            </w:r>
          </w:p>
          <w:p w14:paraId="6B7A4480">
            <w:pPr>
              <w:autoSpaceDE w:val="0"/>
              <w:autoSpaceDN w:val="0"/>
              <w:adjustRightInd w:val="0"/>
              <w:jc w:val="both"/>
            </w:pPr>
            <w:r>
              <w:t>- Протокол исследования в 2 экземплярах;</w:t>
            </w:r>
          </w:p>
        </w:tc>
        <w:tc>
          <w:tcPr>
            <w:tcW w:w="1275" w:type="dxa"/>
            <w:tcBorders>
              <w:top w:val="single" w:color="auto" w:sz="4" w:space="0"/>
              <w:left w:val="single" w:color="auto" w:sz="4" w:space="0"/>
              <w:bottom w:val="single" w:color="auto" w:sz="4" w:space="0"/>
              <w:right w:val="single" w:color="auto" w:sz="4" w:space="0"/>
            </w:tcBorders>
          </w:tcPr>
          <w:p w14:paraId="613C20CF">
            <w:pPr>
              <w:ind w:left="34"/>
              <w:rPr>
                <w:kern w:val="2"/>
                <w:sz w:val="20"/>
                <w:szCs w:val="20"/>
              </w:rPr>
            </w:pPr>
            <w:r>
              <w:rPr>
                <w:kern w:val="2"/>
                <w:sz w:val="20"/>
                <w:szCs w:val="20"/>
              </w:rPr>
              <w:t>Условная Единица</w:t>
            </w:r>
          </w:p>
        </w:tc>
        <w:tc>
          <w:tcPr>
            <w:tcW w:w="852" w:type="dxa"/>
            <w:tcBorders>
              <w:top w:val="single" w:color="auto" w:sz="4" w:space="0"/>
              <w:left w:val="single" w:color="auto" w:sz="4" w:space="0"/>
              <w:bottom w:val="single" w:color="auto" w:sz="4" w:space="0"/>
              <w:right w:val="single" w:color="auto" w:sz="4" w:space="0"/>
            </w:tcBorders>
          </w:tcPr>
          <w:p w14:paraId="4F458823">
            <w:pPr>
              <w:tabs>
                <w:tab w:val="left" w:pos="456"/>
                <w:tab w:val="center" w:pos="522"/>
              </w:tabs>
              <w:ind w:left="34"/>
              <w:rPr>
                <w:kern w:val="2"/>
                <w:sz w:val="20"/>
                <w:szCs w:val="20"/>
              </w:rPr>
            </w:pPr>
            <w:r>
              <w:rPr>
                <w:kern w:val="2"/>
                <w:sz w:val="20"/>
                <w:szCs w:val="20"/>
              </w:rPr>
              <w:t>1</w:t>
            </w:r>
          </w:p>
        </w:tc>
        <w:tc>
          <w:tcPr>
            <w:tcW w:w="1135" w:type="dxa"/>
            <w:tcBorders>
              <w:top w:val="single" w:color="auto" w:sz="4" w:space="0"/>
              <w:left w:val="single" w:color="auto" w:sz="4" w:space="0"/>
              <w:bottom w:val="single" w:color="auto" w:sz="4" w:space="0"/>
              <w:right w:val="single" w:color="auto" w:sz="4" w:space="0"/>
            </w:tcBorders>
          </w:tcPr>
          <w:p w14:paraId="0EBE98EC">
            <w:pPr>
              <w:tabs>
                <w:tab w:val="left" w:pos="456"/>
                <w:tab w:val="center" w:pos="522"/>
              </w:tabs>
              <w:jc w:val="center"/>
            </w:pPr>
          </w:p>
        </w:tc>
        <w:tc>
          <w:tcPr>
            <w:tcW w:w="1135" w:type="dxa"/>
            <w:tcBorders>
              <w:top w:val="single" w:color="auto" w:sz="4" w:space="0"/>
              <w:left w:val="single" w:color="auto" w:sz="4" w:space="0"/>
              <w:bottom w:val="single" w:color="auto" w:sz="4" w:space="0"/>
              <w:right w:val="single" w:color="auto" w:sz="4" w:space="0"/>
            </w:tcBorders>
          </w:tcPr>
          <w:p w14:paraId="0A7A0AE0">
            <w:pPr>
              <w:tabs>
                <w:tab w:val="left" w:pos="456"/>
                <w:tab w:val="center" w:pos="522"/>
              </w:tabs>
              <w:jc w:val="center"/>
            </w:pPr>
          </w:p>
        </w:tc>
      </w:tr>
    </w:tbl>
    <w:p w14:paraId="6B404D76">
      <w:pPr>
        <w:shd w:val="clear" w:color="auto" w:fill="FFFFFF"/>
        <w:jc w:val="cente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5A1F0842">
        <w:tblPrEx>
          <w:tblCellMar>
            <w:top w:w="0" w:type="dxa"/>
            <w:left w:w="108" w:type="dxa"/>
            <w:bottom w:w="0" w:type="dxa"/>
            <w:right w:w="108" w:type="dxa"/>
          </w:tblCellMar>
        </w:tblPrEx>
        <w:tc>
          <w:tcPr>
            <w:tcW w:w="5006" w:type="dxa"/>
            <w:shd w:val="clear" w:color="auto" w:fill="auto"/>
          </w:tcPr>
          <w:p w14:paraId="7410EAE5">
            <w:pPr>
              <w:shd w:val="clear" w:color="auto" w:fill="FFFFFF"/>
              <w:jc w:val="center"/>
              <w:rPr>
                <w:bCs/>
                <w:spacing w:val="-1"/>
              </w:rPr>
            </w:pPr>
            <w:r>
              <w:rPr>
                <w:bCs/>
                <w:spacing w:val="-1"/>
              </w:rPr>
              <w:t>Заказчик:</w:t>
            </w:r>
          </w:p>
        </w:tc>
        <w:tc>
          <w:tcPr>
            <w:tcW w:w="5006" w:type="dxa"/>
            <w:shd w:val="clear" w:color="auto" w:fill="auto"/>
          </w:tcPr>
          <w:p w14:paraId="46CA1E4D">
            <w:pPr>
              <w:shd w:val="clear" w:color="auto" w:fill="FFFFFF"/>
              <w:jc w:val="center"/>
            </w:pPr>
            <w:r>
              <w:rPr>
                <w:bCs/>
                <w:spacing w:val="-1"/>
              </w:rPr>
              <w:t>Исполнитель:</w:t>
            </w:r>
          </w:p>
        </w:tc>
      </w:tr>
      <w:tr w14:paraId="3953EFC5">
        <w:tblPrEx>
          <w:tblCellMar>
            <w:top w:w="0" w:type="dxa"/>
            <w:left w:w="108" w:type="dxa"/>
            <w:bottom w:w="0" w:type="dxa"/>
            <w:right w:w="108" w:type="dxa"/>
          </w:tblCellMar>
        </w:tblPrEx>
        <w:tc>
          <w:tcPr>
            <w:tcW w:w="5006" w:type="dxa"/>
            <w:shd w:val="clear" w:color="auto" w:fill="auto"/>
          </w:tcPr>
          <w:p w14:paraId="4E7CCA16">
            <w:pPr>
              <w:snapToGrid w:val="0"/>
            </w:pPr>
          </w:p>
        </w:tc>
        <w:tc>
          <w:tcPr>
            <w:tcW w:w="5006" w:type="dxa"/>
            <w:shd w:val="clear" w:color="auto" w:fill="auto"/>
          </w:tcPr>
          <w:p w14:paraId="22E17A61">
            <w:pPr>
              <w:snapToGrid w:val="0"/>
            </w:pPr>
          </w:p>
        </w:tc>
      </w:tr>
    </w:tbl>
    <w:p w14:paraId="22023886">
      <w:pPr>
        <w:shd w:val="clear" w:color="auto" w:fill="FFFFFF"/>
        <w:jc w:val="right"/>
        <w:rPr>
          <w:rFonts w:ascii="Arial" w:hAnsi="Arial" w:cs="Arial"/>
          <w:bCs/>
          <w:sz w:val="20"/>
        </w:rPr>
      </w:pPr>
    </w:p>
    <w:p w14:paraId="56883B78">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
        <w:t>_____________________/______________</w:t>
      </w:r>
      <w:r>
        <w:tab/>
      </w:r>
      <w:r>
        <w:tab/>
      </w:r>
      <w:r>
        <w:t>_______________/_______________</w:t>
      </w:r>
    </w:p>
    <w:sectPr>
      <w:pgSz w:w="11906" w:h="16838"/>
      <w:pgMar w:top="568" w:right="1274" w:bottom="719" w:left="1418" w:header="720" w:footer="720" w:gutter="0"/>
      <w:cols w:space="720" w:num="1"/>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CC"/>
    <w:family w:val="swiss"/>
    <w:pitch w:val="default"/>
    <w:sig w:usb0="E0002AFF" w:usb1="C0007843" w:usb2="00000009" w:usb3="00000000" w:csb0="400001FF" w:csb1="FFFF0000"/>
  </w:font>
  <w:font w:name="Arial Unicode MS">
    <w:panose1 w:val="020B0604020202020204"/>
    <w:charset w:val="80"/>
    <w:family w:val="swiss"/>
    <w:pitch w:val="default"/>
    <w:sig w:usb0="FFFFFFFF" w:usb1="E9FFFFFF" w:usb2="0000003F" w:usb3="00000000" w:csb0="603F01FF" w:csb1="FFFF0000"/>
  </w:font>
  <w:font w:name="Mangal">
    <w:panose1 w:val="02040503050203030202"/>
    <w:charset w:val="01"/>
    <w:family w:val="roman"/>
    <w:pitch w:val="default"/>
    <w:sig w:usb0="00008003" w:usb1="00000000" w:usb2="00000000" w:usb3="00000000" w:csb0="00000001" w:csb1="00000000"/>
  </w:font>
  <w:font w:name="Courier New">
    <w:panose1 w:val="02070309020205020404"/>
    <w:charset w:val="CC"/>
    <w:family w:val="modern"/>
    <w:pitch w:val="default"/>
    <w:sig w:usb0="E0002A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Calibri">
    <w:panose1 w:val="020F0502020204030204"/>
    <w:charset w:val="CC"/>
    <w:family w:val="swiss"/>
    <w:pitch w:val="default"/>
    <w:sig w:usb0="E00002FF" w:usb1="4000ACFF" w:usb2="00000001" w:usb3="00000000" w:csb0="2000019F" w:csb1="00000000"/>
  </w:font>
  <w:font w:name="Andale Sans UI">
    <w:altName w:val="Arial Unicode MS"/>
    <w:panose1 w:val="00000000000000000000"/>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documentProtection w:enforcement="0"/>
  <w:defaultTabStop w:val="708"/>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compat>
    <w:compatSetting w:name="compatibilityMode" w:uri="http://schemas.microsoft.com/office/word" w:val="12"/>
  </w:compat>
  <w:rsids>
    <w:rsidRoot w:val="00E90116"/>
    <w:rsid w:val="00003AA9"/>
    <w:rsid w:val="000051B7"/>
    <w:rsid w:val="0001395E"/>
    <w:rsid w:val="00034AB9"/>
    <w:rsid w:val="00054E93"/>
    <w:rsid w:val="000564B1"/>
    <w:rsid w:val="00056DDF"/>
    <w:rsid w:val="000627C7"/>
    <w:rsid w:val="00075B9F"/>
    <w:rsid w:val="00086E2F"/>
    <w:rsid w:val="00094739"/>
    <w:rsid w:val="00094942"/>
    <w:rsid w:val="000A4EFE"/>
    <w:rsid w:val="000B7818"/>
    <w:rsid w:val="000C20B5"/>
    <w:rsid w:val="000C4F87"/>
    <w:rsid w:val="000C7378"/>
    <w:rsid w:val="000D4D88"/>
    <w:rsid w:val="000E130D"/>
    <w:rsid w:val="000E508F"/>
    <w:rsid w:val="000E6251"/>
    <w:rsid w:val="000F55EB"/>
    <w:rsid w:val="00116BD5"/>
    <w:rsid w:val="00124742"/>
    <w:rsid w:val="00126B48"/>
    <w:rsid w:val="00133712"/>
    <w:rsid w:val="00133CE5"/>
    <w:rsid w:val="00135828"/>
    <w:rsid w:val="00140561"/>
    <w:rsid w:val="00147A3F"/>
    <w:rsid w:val="001512CB"/>
    <w:rsid w:val="00165878"/>
    <w:rsid w:val="00180261"/>
    <w:rsid w:val="00191821"/>
    <w:rsid w:val="00191D1A"/>
    <w:rsid w:val="001970B2"/>
    <w:rsid w:val="001A0AF2"/>
    <w:rsid w:val="001A5ABD"/>
    <w:rsid w:val="001D3332"/>
    <w:rsid w:val="0020398B"/>
    <w:rsid w:val="002069BF"/>
    <w:rsid w:val="00223F6F"/>
    <w:rsid w:val="00245E78"/>
    <w:rsid w:val="002537B2"/>
    <w:rsid w:val="00253DA6"/>
    <w:rsid w:val="00257E53"/>
    <w:rsid w:val="00267549"/>
    <w:rsid w:val="00272CD8"/>
    <w:rsid w:val="00272DAD"/>
    <w:rsid w:val="00273EAC"/>
    <w:rsid w:val="002754DE"/>
    <w:rsid w:val="00277378"/>
    <w:rsid w:val="0027799B"/>
    <w:rsid w:val="00286D83"/>
    <w:rsid w:val="00296DB9"/>
    <w:rsid w:val="002A6CA9"/>
    <w:rsid w:val="002A6F81"/>
    <w:rsid w:val="002B0FA6"/>
    <w:rsid w:val="002E358E"/>
    <w:rsid w:val="002E5B54"/>
    <w:rsid w:val="002F49C0"/>
    <w:rsid w:val="00305422"/>
    <w:rsid w:val="00313F66"/>
    <w:rsid w:val="00316EA1"/>
    <w:rsid w:val="00320924"/>
    <w:rsid w:val="003270CD"/>
    <w:rsid w:val="0033043A"/>
    <w:rsid w:val="00330FCD"/>
    <w:rsid w:val="00333468"/>
    <w:rsid w:val="003334DB"/>
    <w:rsid w:val="0033566D"/>
    <w:rsid w:val="003360B0"/>
    <w:rsid w:val="00353E68"/>
    <w:rsid w:val="00363F45"/>
    <w:rsid w:val="0036594A"/>
    <w:rsid w:val="00374531"/>
    <w:rsid w:val="00394750"/>
    <w:rsid w:val="003C1D06"/>
    <w:rsid w:val="003C6699"/>
    <w:rsid w:val="003C7DCF"/>
    <w:rsid w:val="003D5223"/>
    <w:rsid w:val="003E2496"/>
    <w:rsid w:val="003F32DC"/>
    <w:rsid w:val="0040030A"/>
    <w:rsid w:val="00400C6A"/>
    <w:rsid w:val="004101C3"/>
    <w:rsid w:val="0042072C"/>
    <w:rsid w:val="00423203"/>
    <w:rsid w:val="00431B06"/>
    <w:rsid w:val="00471084"/>
    <w:rsid w:val="00483057"/>
    <w:rsid w:val="00484620"/>
    <w:rsid w:val="004847F1"/>
    <w:rsid w:val="00486F37"/>
    <w:rsid w:val="004870F6"/>
    <w:rsid w:val="0049681B"/>
    <w:rsid w:val="004A15F4"/>
    <w:rsid w:val="004A1EAA"/>
    <w:rsid w:val="004C78C3"/>
    <w:rsid w:val="004D4B00"/>
    <w:rsid w:val="004E4BE1"/>
    <w:rsid w:val="004F286C"/>
    <w:rsid w:val="00507FD9"/>
    <w:rsid w:val="0051046E"/>
    <w:rsid w:val="00530947"/>
    <w:rsid w:val="005330AF"/>
    <w:rsid w:val="005343BE"/>
    <w:rsid w:val="0054006B"/>
    <w:rsid w:val="00586C1C"/>
    <w:rsid w:val="00593F54"/>
    <w:rsid w:val="00596BBA"/>
    <w:rsid w:val="005A21F1"/>
    <w:rsid w:val="005B2C11"/>
    <w:rsid w:val="005D3019"/>
    <w:rsid w:val="005D79A4"/>
    <w:rsid w:val="005F1E07"/>
    <w:rsid w:val="00623FF0"/>
    <w:rsid w:val="006333AA"/>
    <w:rsid w:val="00634292"/>
    <w:rsid w:val="0064029A"/>
    <w:rsid w:val="00642ABC"/>
    <w:rsid w:val="00643D07"/>
    <w:rsid w:val="00662F28"/>
    <w:rsid w:val="00663057"/>
    <w:rsid w:val="00672DE5"/>
    <w:rsid w:val="00673069"/>
    <w:rsid w:val="006820A5"/>
    <w:rsid w:val="006956C0"/>
    <w:rsid w:val="00697120"/>
    <w:rsid w:val="006A3E01"/>
    <w:rsid w:val="006A4DD8"/>
    <w:rsid w:val="006B2645"/>
    <w:rsid w:val="006B6E7A"/>
    <w:rsid w:val="006D1DD8"/>
    <w:rsid w:val="006E07A3"/>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078CC"/>
    <w:rsid w:val="008151C8"/>
    <w:rsid w:val="00820447"/>
    <w:rsid w:val="008310AA"/>
    <w:rsid w:val="00846D8F"/>
    <w:rsid w:val="00847253"/>
    <w:rsid w:val="00865ABC"/>
    <w:rsid w:val="00865EAD"/>
    <w:rsid w:val="00895EEF"/>
    <w:rsid w:val="008A3DFB"/>
    <w:rsid w:val="008D2812"/>
    <w:rsid w:val="008D347C"/>
    <w:rsid w:val="008D60E5"/>
    <w:rsid w:val="008E0B74"/>
    <w:rsid w:val="008E0EF2"/>
    <w:rsid w:val="008F2CBD"/>
    <w:rsid w:val="00915151"/>
    <w:rsid w:val="00917983"/>
    <w:rsid w:val="00932D4F"/>
    <w:rsid w:val="0096183B"/>
    <w:rsid w:val="0097260C"/>
    <w:rsid w:val="00993C68"/>
    <w:rsid w:val="00996E31"/>
    <w:rsid w:val="0099704C"/>
    <w:rsid w:val="009A4969"/>
    <w:rsid w:val="009A7D72"/>
    <w:rsid w:val="009B0363"/>
    <w:rsid w:val="009D797B"/>
    <w:rsid w:val="009E107D"/>
    <w:rsid w:val="009E56AE"/>
    <w:rsid w:val="009F08B6"/>
    <w:rsid w:val="009F0C1A"/>
    <w:rsid w:val="00A16D2C"/>
    <w:rsid w:val="00A24B19"/>
    <w:rsid w:val="00A346F9"/>
    <w:rsid w:val="00A403B6"/>
    <w:rsid w:val="00A4424E"/>
    <w:rsid w:val="00A52BEA"/>
    <w:rsid w:val="00A558D1"/>
    <w:rsid w:val="00AA636B"/>
    <w:rsid w:val="00AC11EE"/>
    <w:rsid w:val="00AD596C"/>
    <w:rsid w:val="00AE0A8D"/>
    <w:rsid w:val="00AF71BD"/>
    <w:rsid w:val="00AF7E57"/>
    <w:rsid w:val="00B05357"/>
    <w:rsid w:val="00B148A4"/>
    <w:rsid w:val="00B16AEA"/>
    <w:rsid w:val="00B25F16"/>
    <w:rsid w:val="00B334F8"/>
    <w:rsid w:val="00B42B1C"/>
    <w:rsid w:val="00B8029E"/>
    <w:rsid w:val="00B8412F"/>
    <w:rsid w:val="00B852D7"/>
    <w:rsid w:val="00B8740A"/>
    <w:rsid w:val="00B9482C"/>
    <w:rsid w:val="00BA34C9"/>
    <w:rsid w:val="00BA5F84"/>
    <w:rsid w:val="00BB0CDD"/>
    <w:rsid w:val="00BB1A20"/>
    <w:rsid w:val="00BB7307"/>
    <w:rsid w:val="00BD2561"/>
    <w:rsid w:val="00BD3AD9"/>
    <w:rsid w:val="00BE088C"/>
    <w:rsid w:val="00BF31BE"/>
    <w:rsid w:val="00BF54EF"/>
    <w:rsid w:val="00BF6A75"/>
    <w:rsid w:val="00C14933"/>
    <w:rsid w:val="00C23E98"/>
    <w:rsid w:val="00C3242F"/>
    <w:rsid w:val="00C35F04"/>
    <w:rsid w:val="00C4422D"/>
    <w:rsid w:val="00C44AF6"/>
    <w:rsid w:val="00C539AD"/>
    <w:rsid w:val="00C5718D"/>
    <w:rsid w:val="00C80E6D"/>
    <w:rsid w:val="00CA0B4C"/>
    <w:rsid w:val="00CA3DB2"/>
    <w:rsid w:val="00CB1079"/>
    <w:rsid w:val="00CB7246"/>
    <w:rsid w:val="00CC0C72"/>
    <w:rsid w:val="00CC21D6"/>
    <w:rsid w:val="00CC6A08"/>
    <w:rsid w:val="00CD28EA"/>
    <w:rsid w:val="00CE4325"/>
    <w:rsid w:val="00CE670A"/>
    <w:rsid w:val="00D01F16"/>
    <w:rsid w:val="00D13B71"/>
    <w:rsid w:val="00D203F1"/>
    <w:rsid w:val="00D2130D"/>
    <w:rsid w:val="00D25E24"/>
    <w:rsid w:val="00D26B73"/>
    <w:rsid w:val="00D26CAE"/>
    <w:rsid w:val="00D27A97"/>
    <w:rsid w:val="00D3046E"/>
    <w:rsid w:val="00D41684"/>
    <w:rsid w:val="00D4219B"/>
    <w:rsid w:val="00D5130A"/>
    <w:rsid w:val="00D527E2"/>
    <w:rsid w:val="00D63077"/>
    <w:rsid w:val="00D718D6"/>
    <w:rsid w:val="00D77BD0"/>
    <w:rsid w:val="00D8479D"/>
    <w:rsid w:val="00D93A0D"/>
    <w:rsid w:val="00D94037"/>
    <w:rsid w:val="00D95DE7"/>
    <w:rsid w:val="00DA1F94"/>
    <w:rsid w:val="00DB077C"/>
    <w:rsid w:val="00DB7E01"/>
    <w:rsid w:val="00DD11EA"/>
    <w:rsid w:val="00DD3D71"/>
    <w:rsid w:val="00DE3978"/>
    <w:rsid w:val="00DE52F0"/>
    <w:rsid w:val="00DE6B8B"/>
    <w:rsid w:val="00DF3374"/>
    <w:rsid w:val="00DF65BE"/>
    <w:rsid w:val="00DF7BEE"/>
    <w:rsid w:val="00E0176D"/>
    <w:rsid w:val="00E30E7B"/>
    <w:rsid w:val="00E3564B"/>
    <w:rsid w:val="00E5232B"/>
    <w:rsid w:val="00E5382B"/>
    <w:rsid w:val="00E556A5"/>
    <w:rsid w:val="00E55E7D"/>
    <w:rsid w:val="00E568A3"/>
    <w:rsid w:val="00E57619"/>
    <w:rsid w:val="00E75028"/>
    <w:rsid w:val="00E8485D"/>
    <w:rsid w:val="00E90116"/>
    <w:rsid w:val="00E95D9D"/>
    <w:rsid w:val="00EA1552"/>
    <w:rsid w:val="00EA2CF2"/>
    <w:rsid w:val="00EA3AA9"/>
    <w:rsid w:val="00EA7EE5"/>
    <w:rsid w:val="00EC5DAE"/>
    <w:rsid w:val="00ED10C2"/>
    <w:rsid w:val="00ED5FF3"/>
    <w:rsid w:val="00EE0018"/>
    <w:rsid w:val="00EE1C22"/>
    <w:rsid w:val="00EE3D21"/>
    <w:rsid w:val="00EF347C"/>
    <w:rsid w:val="00EF357C"/>
    <w:rsid w:val="00EF64CD"/>
    <w:rsid w:val="00EF6A9B"/>
    <w:rsid w:val="00F0120E"/>
    <w:rsid w:val="00F1445A"/>
    <w:rsid w:val="00F16274"/>
    <w:rsid w:val="00F32E43"/>
    <w:rsid w:val="00F566CE"/>
    <w:rsid w:val="00F739D6"/>
    <w:rsid w:val="00F80D87"/>
    <w:rsid w:val="00F84280"/>
    <w:rsid w:val="00FB257A"/>
    <w:rsid w:val="00FC4D6D"/>
    <w:rsid w:val="00FC7476"/>
    <w:rsid w:val="00FE19EF"/>
    <w:rsid w:val="7A50596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39" w:semiHidden="0" w:name="Table Grid"/>
    <w:lsdException w:uiPriority="0" w:name="Table Theme"/>
    <w:lsdException w:qFormat="1" w:unhideWhenUsed="0" w:uiPriority="99" w:semiHidden="0" w:name="No Spacing"/>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uiPriority w:val="0"/>
    <w:rPr>
      <w:color w:val="0000FF"/>
      <w:u w:val="single"/>
    </w:rPr>
  </w:style>
  <w:style w:type="character" w:styleId="5">
    <w:name w:val="Strong"/>
    <w:qFormat/>
    <w:uiPriority w:val="0"/>
    <w:rPr>
      <w:b/>
      <w:bCs/>
    </w:rPr>
  </w:style>
  <w:style w:type="paragraph" w:styleId="6">
    <w:name w:val="Balloon Text"/>
    <w:basedOn w:val="1"/>
    <w:semiHidden/>
    <w:uiPriority w:val="0"/>
    <w:rPr>
      <w:rFonts w:ascii="Tahoma" w:hAnsi="Tahoma" w:cs="Tahoma"/>
      <w:sz w:val="16"/>
      <w:szCs w:val="16"/>
    </w:rPr>
  </w:style>
  <w:style w:type="paragraph" w:styleId="7">
    <w:name w:val="Body Text Indent 3"/>
    <w:basedOn w:val="1"/>
    <w:uiPriority w:val="0"/>
    <w:pPr>
      <w:spacing w:after="120"/>
      <w:ind w:left="283"/>
    </w:pPr>
    <w:rPr>
      <w:sz w:val="16"/>
      <w:szCs w:val="16"/>
    </w:rPr>
  </w:style>
  <w:style w:type="paragraph" w:styleId="8">
    <w:name w:val="Body Text"/>
    <w:basedOn w:val="1"/>
    <w:uiPriority w:val="0"/>
    <w:pPr>
      <w:jc w:val="both"/>
    </w:pPr>
  </w:style>
  <w:style w:type="paragraph" w:styleId="9">
    <w:name w:val="Title"/>
    <w:basedOn w:val="1"/>
    <w:next w:val="8"/>
    <w:qFormat/>
    <w:uiPriority w:val="0"/>
    <w:pPr>
      <w:keepNext/>
      <w:spacing w:before="240" w:after="120"/>
    </w:pPr>
    <w:rPr>
      <w:rFonts w:ascii="Arial" w:hAnsi="Arial" w:eastAsia="Arial Unicode MS" w:cs="Mangal"/>
      <w:sz w:val="28"/>
      <w:szCs w:val="28"/>
    </w:rPr>
  </w:style>
  <w:style w:type="paragraph" w:styleId="10">
    <w:name w:val="List"/>
    <w:basedOn w:val="8"/>
    <w:uiPriority w:val="0"/>
    <w:rPr>
      <w:rFonts w:cs="Mangal"/>
    </w:rPr>
  </w:style>
  <w:style w:type="paragraph" w:styleId="11">
    <w:name w:val="Normal (Web)"/>
    <w:basedOn w:val="1"/>
    <w:link w:val="39"/>
    <w:uiPriority w:val="99"/>
    <w:pPr>
      <w:suppressAutoHyphens w:val="0"/>
      <w:spacing w:before="100" w:beforeAutospacing="1" w:after="100" w:afterAutospacing="1"/>
    </w:pPr>
    <w:rPr>
      <w:rFonts w:eastAsia="Calibri"/>
      <w:lang w:eastAsia="ru-RU"/>
    </w:rPr>
  </w:style>
  <w:style w:type="table" w:styleId="12">
    <w:name w:val="Table Grid"/>
    <w:basedOn w:val="3"/>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Основной шрифт абзаца1"/>
    <w:uiPriority w:val="0"/>
  </w:style>
  <w:style w:type="character" w:customStyle="1" w:styleId="14">
    <w:name w:val="!Основной Знак"/>
    <w:uiPriority w:val="0"/>
    <w:rPr>
      <w:sz w:val="22"/>
      <w:lang w:val="ru-RU" w:eastAsia="ar-SA" w:bidi="ar-SA"/>
    </w:rPr>
  </w:style>
  <w:style w:type="paragraph" w:customStyle="1" w:styleId="15">
    <w:name w:val="Название1"/>
    <w:basedOn w:val="1"/>
    <w:qFormat/>
    <w:uiPriority w:val="0"/>
    <w:pPr>
      <w:suppressLineNumbers/>
      <w:spacing w:before="120" w:after="120"/>
    </w:pPr>
    <w:rPr>
      <w:rFonts w:cs="Mangal"/>
      <w:i/>
      <w:iCs/>
    </w:rPr>
  </w:style>
  <w:style w:type="paragraph" w:customStyle="1" w:styleId="16">
    <w:name w:val="Указатель1"/>
    <w:basedOn w:val="1"/>
    <w:uiPriority w:val="0"/>
    <w:pPr>
      <w:suppressLineNumbers/>
    </w:pPr>
    <w:rPr>
      <w:rFonts w:cs="Mangal"/>
    </w:rPr>
  </w:style>
  <w:style w:type="paragraph" w:styleId="17">
    <w:name w:val="List Paragraph"/>
    <w:basedOn w:val="1"/>
    <w:link w:val="35"/>
    <w:qFormat/>
    <w:uiPriority w:val="0"/>
    <w:pPr>
      <w:ind w:left="720"/>
    </w:pPr>
    <w:rPr>
      <w:sz w:val="20"/>
      <w:szCs w:val="20"/>
    </w:rPr>
  </w:style>
  <w:style w:type="paragraph" w:customStyle="1" w:styleId="18">
    <w:name w:val="!Основной"/>
    <w:uiPriority w:val="0"/>
    <w:pPr>
      <w:keepNext/>
      <w:suppressAutoHyphens/>
      <w:ind w:firstLine="567"/>
      <w:jc w:val="both"/>
    </w:pPr>
    <w:rPr>
      <w:rFonts w:ascii="Times New Roman" w:hAnsi="Times New Roman" w:eastAsia="Times New Roman" w:cs="Times New Roman"/>
      <w:sz w:val="22"/>
      <w:lang w:val="ru-RU" w:eastAsia="ar-SA" w:bidi="ar-SA"/>
    </w:rPr>
  </w:style>
  <w:style w:type="paragraph" w:customStyle="1" w:styleId="19">
    <w:name w:val="Отступ основного текста"/>
    <w:basedOn w:val="1"/>
    <w:uiPriority w:val="0"/>
    <w:pPr>
      <w:widowControl w:val="0"/>
      <w:tabs>
        <w:tab w:val="left" w:pos="3261"/>
      </w:tabs>
    </w:pPr>
    <w:rPr>
      <w:rFonts w:ascii="Arial" w:hAnsi="Arial" w:cs="Arial"/>
      <w:b/>
    </w:rPr>
  </w:style>
  <w:style w:type="paragraph" w:customStyle="1" w:styleId="20">
    <w:name w:val="ConsNonformat"/>
    <w:uiPriority w:val="0"/>
    <w:pPr>
      <w:widowControl w:val="0"/>
      <w:suppressAutoHyphens/>
      <w:autoSpaceDE w:val="0"/>
    </w:pPr>
    <w:rPr>
      <w:rFonts w:ascii="Courier New" w:hAnsi="Courier New" w:eastAsia="Times New Roman" w:cs="Courier New"/>
      <w:lang w:val="ru-RU" w:eastAsia="ar-SA" w:bidi="ar-SA"/>
    </w:rPr>
  </w:style>
  <w:style w:type="paragraph" w:customStyle="1" w:styleId="21">
    <w:name w:val="Знак1"/>
    <w:basedOn w:val="1"/>
    <w:uiPriority w:val="0"/>
    <w:pPr>
      <w:spacing w:before="280" w:after="280"/>
    </w:pPr>
    <w:rPr>
      <w:rFonts w:ascii="Tahoma" w:hAnsi="Tahoma" w:cs="Tahoma"/>
      <w:sz w:val="20"/>
      <w:szCs w:val="20"/>
      <w:lang w:val="en-US"/>
    </w:rPr>
  </w:style>
  <w:style w:type="paragraph" w:customStyle="1" w:styleId="22">
    <w:name w:val="Default Text"/>
    <w:uiPriority w:val="0"/>
    <w:pPr>
      <w:suppressAutoHyphens/>
    </w:pPr>
    <w:rPr>
      <w:rFonts w:ascii="Times New Roman" w:hAnsi="Times New Roman" w:eastAsia="Times New Roman" w:cs="Times New Roman"/>
      <w:kern w:val="1"/>
      <w:sz w:val="24"/>
      <w:szCs w:val="24"/>
      <w:lang w:val="ru-RU" w:eastAsia="ar-SA" w:bidi="ar-SA"/>
    </w:rPr>
  </w:style>
  <w:style w:type="paragraph" w:customStyle="1" w:styleId="23">
    <w:name w:val="Знак11"/>
    <w:basedOn w:val="1"/>
    <w:uiPriority w:val="0"/>
    <w:pPr>
      <w:spacing w:before="280" w:after="280"/>
    </w:pPr>
    <w:rPr>
      <w:rFonts w:ascii="Tahoma" w:hAnsi="Tahoma" w:cs="Tahoma"/>
      <w:sz w:val="20"/>
      <w:szCs w:val="20"/>
      <w:lang w:val="en-US"/>
    </w:rPr>
  </w:style>
  <w:style w:type="paragraph" w:customStyle="1" w:styleId="24">
    <w:name w:val="Основной текст с отступом 31"/>
    <w:basedOn w:val="1"/>
    <w:uiPriority w:val="0"/>
    <w:pPr>
      <w:spacing w:after="120"/>
      <w:ind w:left="283"/>
    </w:pPr>
    <w:rPr>
      <w:sz w:val="16"/>
      <w:szCs w:val="16"/>
    </w:rPr>
  </w:style>
  <w:style w:type="paragraph" w:customStyle="1" w:styleId="25">
    <w:name w:val="Содержимое таблицы"/>
    <w:basedOn w:val="1"/>
    <w:uiPriority w:val="0"/>
    <w:pPr>
      <w:suppressLineNumbers/>
    </w:pPr>
  </w:style>
  <w:style w:type="paragraph" w:customStyle="1" w:styleId="26">
    <w:name w:val="Заголовок таблицы"/>
    <w:basedOn w:val="25"/>
    <w:uiPriority w:val="0"/>
    <w:pPr>
      <w:jc w:val="center"/>
    </w:pPr>
    <w:rPr>
      <w:b/>
      <w:bCs/>
    </w:rPr>
  </w:style>
  <w:style w:type="paragraph" w:customStyle="1" w:styleId="27">
    <w:name w:val="Содержимое врезки"/>
    <w:basedOn w:val="8"/>
    <w:uiPriority w:val="0"/>
  </w:style>
  <w:style w:type="character" w:customStyle="1" w:styleId="28">
    <w:name w:val="Гипертекстовая ссылка"/>
    <w:uiPriority w:val="0"/>
    <w:rPr>
      <w:color w:val="106BBE"/>
    </w:rPr>
  </w:style>
  <w:style w:type="paragraph" w:customStyle="1" w:styleId="29">
    <w:name w:val="Обычный + по ширине"/>
    <w:basedOn w:val="1"/>
    <w:uiPriority w:val="0"/>
    <w:pPr>
      <w:suppressAutoHyphens w:val="0"/>
      <w:jc w:val="both"/>
    </w:pPr>
    <w:rPr>
      <w:lang w:eastAsia="ru-RU"/>
    </w:rPr>
  </w:style>
  <w:style w:type="character" w:customStyle="1" w:styleId="30">
    <w:name w:val="pinkbg1"/>
    <w:uiPriority w:val="0"/>
    <w:rPr>
      <w:shd w:val="clear" w:color="auto" w:fill="FDD7C9"/>
    </w:rPr>
  </w:style>
  <w:style w:type="paragraph" w:customStyle="1" w:styleId="31">
    <w:name w:val="Default"/>
    <w:uiPriority w:val="0"/>
    <w:pPr>
      <w:autoSpaceDE w:val="0"/>
      <w:autoSpaceDN w:val="0"/>
      <w:adjustRightInd w:val="0"/>
    </w:pPr>
    <w:rPr>
      <w:rFonts w:ascii="Arial" w:hAnsi="Arial" w:eastAsia="Times New Roman" w:cs="Arial"/>
      <w:color w:val="000000"/>
      <w:sz w:val="24"/>
      <w:szCs w:val="24"/>
      <w:lang w:val="ru-RU" w:eastAsia="en-US" w:bidi="ar-SA"/>
    </w:rPr>
  </w:style>
  <w:style w:type="paragraph" w:customStyle="1" w:styleId="32">
    <w:name w:val="western"/>
    <w:basedOn w:val="1"/>
    <w:uiPriority w:val="99"/>
    <w:pPr>
      <w:suppressAutoHyphens w:val="0"/>
      <w:spacing w:before="100" w:beforeAutospacing="1" w:after="100" w:afterAutospacing="1"/>
    </w:pPr>
    <w:rPr>
      <w:lang w:eastAsia="ru-RU"/>
    </w:rPr>
  </w:style>
  <w:style w:type="paragraph" w:customStyle="1" w:styleId="33">
    <w:name w:val="ConsPlusNormal"/>
    <w:link w:val="34"/>
    <w:uiPriority w:val="0"/>
    <w:pPr>
      <w:widowControl w:val="0"/>
      <w:autoSpaceDE w:val="0"/>
      <w:autoSpaceDN w:val="0"/>
      <w:adjustRightInd w:val="0"/>
      <w:ind w:firstLine="720"/>
    </w:pPr>
    <w:rPr>
      <w:rFonts w:ascii="Arial" w:hAnsi="Arial" w:eastAsia="Times New Roman" w:cs="Arial"/>
      <w:sz w:val="22"/>
      <w:szCs w:val="22"/>
      <w:lang w:val="ru-RU" w:eastAsia="ru-RU" w:bidi="ar-SA"/>
    </w:rPr>
  </w:style>
  <w:style w:type="character" w:customStyle="1" w:styleId="34">
    <w:name w:val="ConsPlusNormal Знак"/>
    <w:link w:val="33"/>
    <w:locked/>
    <w:uiPriority w:val="0"/>
    <w:rPr>
      <w:rFonts w:ascii="Arial" w:hAnsi="Arial" w:cs="Arial"/>
      <w:sz w:val="22"/>
      <w:szCs w:val="22"/>
    </w:rPr>
  </w:style>
  <w:style w:type="character" w:customStyle="1" w:styleId="35">
    <w:name w:val="Абзац списка Знак"/>
    <w:link w:val="17"/>
    <w:uiPriority w:val="34"/>
    <w:rPr>
      <w:lang w:eastAsia="ar-SA"/>
    </w:rPr>
  </w:style>
  <w:style w:type="paragraph" w:customStyle="1" w:styleId="36">
    <w:name w:val="Знак Знак1"/>
    <w:basedOn w:val="1"/>
    <w:uiPriority w:val="0"/>
    <w:pPr>
      <w:suppressAutoHyphens w:val="0"/>
      <w:spacing w:before="100" w:beforeAutospacing="1" w:after="100" w:afterAutospacing="1"/>
    </w:pPr>
    <w:rPr>
      <w:rFonts w:ascii="Tahoma" w:hAnsi="Tahoma"/>
      <w:sz w:val="20"/>
      <w:szCs w:val="20"/>
      <w:lang w:val="en-US" w:eastAsia="en-US"/>
    </w:rPr>
  </w:style>
  <w:style w:type="character" w:customStyle="1" w:styleId="37">
    <w:name w:val="Без интервала Знак"/>
    <w:link w:val="38"/>
    <w:locked/>
    <w:uiPriority w:val="99"/>
    <w:rPr>
      <w:rFonts w:cs="Calibri"/>
    </w:rPr>
  </w:style>
  <w:style w:type="paragraph" w:styleId="38">
    <w:name w:val="No Spacing"/>
    <w:link w:val="37"/>
    <w:qFormat/>
    <w:uiPriority w:val="99"/>
    <w:rPr>
      <w:rFonts w:ascii="Times New Roman" w:hAnsi="Times New Roman" w:eastAsia="Times New Roman" w:cs="Calibri"/>
      <w:lang w:val="ru-RU" w:eastAsia="ru-RU" w:bidi="ar-SA"/>
    </w:rPr>
  </w:style>
  <w:style w:type="character" w:customStyle="1" w:styleId="39">
    <w:name w:val="Обычный (веб) Знак"/>
    <w:link w:val="11"/>
    <w:locked/>
    <w:uiPriority w:val="99"/>
    <w:rPr>
      <w:rFonts w:eastAsia="Calibri"/>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ТФОМС</Company>
  <Pages>10</Pages>
  <Words>3690</Words>
  <Characters>21037</Characters>
  <Lines>175</Lines>
  <Paragraphs>49</Paragraphs>
  <TotalTime>100</TotalTime>
  <ScaleCrop>false</ScaleCrop>
  <LinksUpToDate>false</LinksUpToDate>
  <CharactersWithSpaces>24678</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2024-06-24T05:06:00Z</dcterms:created>
  <dc:creator>vir</dc:creator>
  <cp:lastModifiedBy>Karyagin</cp:lastModifiedBy>
  <cp:lastPrinted>2024-06-03T06:35:00Z</cp:lastPrinted>
  <dcterms:modified xsi:type="dcterms:W3CDTF">2024-07-08T04:40:42Z</dcterms:modified>
  <dc:title>Проект государственного контракта</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BE74CF338315484BA93C2DBA95880950_12</vt:lpwstr>
  </property>
</Properties>
</file>