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a7"/>
        <w:tblpPr w:leftFromText="180" w:rightFromText="180" w:vertAnchor="text" w:horzAnchor="margin" w:tblpY="1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5239"/>
      </w:tblGrid>
      <w:tr w:rsidR="008A3184" w:rsidTr="008A3184">
        <w:trPr>
          <w:trHeight w:val="1326"/>
        </w:trPr>
        <w:tc>
          <w:tcPr>
            <w:tcW w:w="4106" w:type="dxa"/>
          </w:tcPr>
          <w:p w:rsidR="008A3184" w:rsidRDefault="008A3184" w:rsidP="008A3184">
            <w:pPr>
              <w:pStyle w:val="a3"/>
              <w:jc w:val="center"/>
              <w:rPr>
                <w:rFonts w:ascii="Tahoma" w:hAnsi="Tahoma" w:cs="Tahoma"/>
                <w:sz w:val="20"/>
                <w:szCs w:val="20"/>
              </w:rPr>
            </w:pPr>
            <w:r>
              <w:rPr>
                <w:noProof/>
                <w:lang w:eastAsia="ru-RU"/>
              </w:rPr>
              <w:drawing>
                <wp:inline distT="0" distB="0" distL="0" distR="0" wp14:anchorId="0CD8A033" wp14:editId="6D867381">
                  <wp:extent cx="390476" cy="52381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small-1.png"/>
                          <pic:cNvPicPr/>
                        </pic:nvPicPr>
                        <pic:blipFill>
                          <a:blip r:embed="rId7">
                            <a:extLst>
                              <a:ext uri="{28A0092B-C50C-407E-A947-70E740481C1C}">
                                <a14:useLocalDpi xmlns:a14="http://schemas.microsoft.com/office/drawing/2010/main" val="0"/>
                              </a:ext>
                            </a:extLst>
                          </a:blip>
                          <a:stretch>
                            <a:fillRect/>
                          </a:stretch>
                        </pic:blipFill>
                        <pic:spPr>
                          <a:xfrm>
                            <a:off x="0" y="0"/>
                            <a:ext cx="390476" cy="523810"/>
                          </a:xfrm>
                          <a:prstGeom prst="rect">
                            <a:avLst/>
                          </a:prstGeom>
                        </pic:spPr>
                      </pic:pic>
                    </a:graphicData>
                  </a:graphic>
                </wp:inline>
              </w:drawing>
            </w:r>
          </w:p>
          <w:p w:rsidR="008A3184" w:rsidRPr="00FE10C9" w:rsidRDefault="008A3184" w:rsidP="008A3184">
            <w:pPr>
              <w:pStyle w:val="a3"/>
              <w:jc w:val="center"/>
              <w:rPr>
                <w:rFonts w:ascii="Segoe Script" w:hAnsi="Segoe Script"/>
                <w:b/>
                <w:sz w:val="16"/>
                <w:szCs w:val="16"/>
              </w:rPr>
            </w:pPr>
            <w:r w:rsidRPr="00FE10C9">
              <w:rPr>
                <w:rFonts w:ascii="Segoe Script" w:hAnsi="Segoe Script"/>
                <w:b/>
                <w:sz w:val="16"/>
                <w:szCs w:val="16"/>
                <w:lang w:val="en-US"/>
              </w:rPr>
              <w:t>LaClass</w:t>
            </w:r>
          </w:p>
          <w:p w:rsidR="008A3184" w:rsidRDefault="008A3184" w:rsidP="008A3184">
            <w:pPr>
              <w:pStyle w:val="a3"/>
              <w:jc w:val="center"/>
              <w:rPr>
                <w:rFonts w:ascii="Tahoma" w:hAnsi="Tahoma" w:cs="Tahoma"/>
                <w:sz w:val="16"/>
                <w:szCs w:val="16"/>
              </w:rPr>
            </w:pPr>
            <w:r w:rsidRPr="00FE10C9">
              <w:rPr>
                <w:rFonts w:ascii="Segoe Script" w:hAnsi="Segoe Script"/>
                <w:sz w:val="16"/>
                <w:szCs w:val="16"/>
              </w:rPr>
              <w:t>мебель для маленьких гениев</w:t>
            </w:r>
          </w:p>
          <w:p w:rsidR="008A3184" w:rsidRPr="00FE10C9" w:rsidRDefault="008A3184" w:rsidP="008A3184">
            <w:pPr>
              <w:pStyle w:val="a3"/>
              <w:jc w:val="center"/>
              <w:rPr>
                <w:rFonts w:ascii="Tahoma" w:hAnsi="Tahoma" w:cs="Tahoma"/>
                <w:sz w:val="10"/>
                <w:szCs w:val="10"/>
              </w:rPr>
            </w:pPr>
            <w:r w:rsidRPr="00FE10C9">
              <w:rPr>
                <w:rFonts w:ascii="Tahoma" w:hAnsi="Tahoma" w:cs="Tahoma"/>
                <w:sz w:val="10"/>
                <w:szCs w:val="10"/>
              </w:rPr>
              <w:t>_____________</w:t>
            </w:r>
          </w:p>
        </w:tc>
        <w:tc>
          <w:tcPr>
            <w:tcW w:w="5239" w:type="dxa"/>
          </w:tcPr>
          <w:p w:rsidR="008A3184" w:rsidRPr="008C7045" w:rsidRDefault="008A3184" w:rsidP="008A3184">
            <w:pPr>
              <w:pStyle w:val="a3"/>
              <w:jc w:val="right"/>
            </w:pPr>
          </w:p>
        </w:tc>
      </w:tr>
    </w:tbl>
    <w:p w:rsidR="0060724C" w:rsidRPr="008A3184" w:rsidRDefault="008A3184" w:rsidP="00FE10C9">
      <w:pPr>
        <w:spacing w:after="0" w:line="240" w:lineRule="auto"/>
        <w:rPr>
          <w:b/>
          <w:sz w:val="20"/>
          <w:szCs w:val="20"/>
        </w:rPr>
      </w:pPr>
      <w:r w:rsidRPr="008A3184">
        <w:rPr>
          <w:b/>
          <w:sz w:val="20"/>
          <w:szCs w:val="20"/>
        </w:rPr>
        <w:t>ТЕХНИЧЕСКОЕ ЗАДАНИЕ:</w:t>
      </w:r>
      <w:r w:rsidR="00A11719">
        <w:rPr>
          <w:b/>
          <w:sz w:val="20"/>
          <w:szCs w:val="20"/>
        </w:rPr>
        <w:t xml:space="preserve"> парта Экстра Р, </w:t>
      </w:r>
      <w:r w:rsidR="00FC3E83">
        <w:rPr>
          <w:b/>
          <w:sz w:val="20"/>
          <w:szCs w:val="20"/>
        </w:rPr>
        <w:t>одноместная</w:t>
      </w:r>
      <w:r w:rsidR="00A11719">
        <w:rPr>
          <w:b/>
          <w:sz w:val="20"/>
          <w:szCs w:val="20"/>
        </w:rPr>
        <w:t xml:space="preserve">, </w:t>
      </w:r>
      <w:r w:rsidR="00FC3E83">
        <w:rPr>
          <w:b/>
          <w:sz w:val="20"/>
          <w:szCs w:val="20"/>
        </w:rPr>
        <w:t>3</w:t>
      </w:r>
      <w:r w:rsidR="00A11719">
        <w:rPr>
          <w:b/>
          <w:sz w:val="20"/>
          <w:szCs w:val="20"/>
        </w:rPr>
        <w:t>-</w:t>
      </w:r>
      <w:r w:rsidR="00FC3E83">
        <w:rPr>
          <w:b/>
          <w:sz w:val="20"/>
          <w:szCs w:val="20"/>
        </w:rPr>
        <w:t>5</w:t>
      </w:r>
      <w:r w:rsidR="0060724C">
        <w:rPr>
          <w:b/>
          <w:sz w:val="20"/>
          <w:szCs w:val="20"/>
        </w:rPr>
        <w:t xml:space="preserve"> ростовая группа</w:t>
      </w:r>
    </w:p>
    <w:tbl>
      <w:tblPr>
        <w:tblStyle w:val="a7"/>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6"/>
        <w:gridCol w:w="2386"/>
        <w:gridCol w:w="4673"/>
      </w:tblGrid>
      <w:tr w:rsidR="008A3184" w:rsidTr="008A3184">
        <w:trPr>
          <w:trHeight w:val="6246"/>
        </w:trPr>
        <w:tc>
          <w:tcPr>
            <w:tcW w:w="2286" w:type="dxa"/>
          </w:tcPr>
          <w:p w:rsidR="008A3184" w:rsidRDefault="008A3184" w:rsidP="00FE10C9"/>
          <w:p w:rsidR="008A3184" w:rsidRDefault="008A3184" w:rsidP="00FE10C9"/>
          <w:p w:rsidR="008A3184" w:rsidRDefault="008A3184" w:rsidP="00FE10C9"/>
          <w:p w:rsidR="008A3184" w:rsidRDefault="008A3184" w:rsidP="00FE10C9"/>
          <w:p w:rsidR="008A3184" w:rsidRDefault="008A3184" w:rsidP="00FE10C9"/>
          <w:p w:rsidR="008A3184" w:rsidRDefault="0078562F" w:rsidP="00FE10C9">
            <w:r>
              <w:rPr>
                <w:noProof/>
                <w:lang w:eastAsia="ru-RU"/>
              </w:rPr>
              <w:drawing>
                <wp:inline distT="0" distB="0" distL="0" distR="0" wp14:anchorId="4F29DEB5" wp14:editId="1451ABE2">
                  <wp:extent cx="1047750" cy="1013678"/>
                  <wp:effectExtent l="0" t="0" r="0" b="0"/>
                  <wp:docPr id="39"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Рисунок 38"/>
                          <pic:cNvPicPr>
                            <a:picLocks noChangeAspect="1"/>
                          </pic:cNvPicPr>
                        </pic:nvPicPr>
                        <pic:blipFill>
                          <a:blip r:embed="rId8"/>
                          <a:stretch>
                            <a:fillRect/>
                          </a:stretch>
                        </pic:blipFill>
                        <pic:spPr>
                          <a:xfrm>
                            <a:off x="0" y="0"/>
                            <a:ext cx="1047750" cy="1013678"/>
                          </a:xfrm>
                          <a:prstGeom prst="rect">
                            <a:avLst/>
                          </a:prstGeom>
                        </pic:spPr>
                      </pic:pic>
                    </a:graphicData>
                  </a:graphic>
                </wp:inline>
              </w:drawing>
            </w:r>
          </w:p>
          <w:p w:rsidR="008A3184" w:rsidRDefault="008A3184" w:rsidP="00FE10C9"/>
          <w:p w:rsidR="008A3184" w:rsidRDefault="008A3184" w:rsidP="00FE10C9"/>
        </w:tc>
        <w:tc>
          <w:tcPr>
            <w:tcW w:w="7059" w:type="dxa"/>
            <w:gridSpan w:val="2"/>
          </w:tcPr>
          <w:p w:rsidR="002D15E1" w:rsidRPr="008F3026" w:rsidRDefault="0078562F" w:rsidP="002D15E1">
            <w:pPr>
              <w:jc w:val="both"/>
              <w:rPr>
                <w:sz w:val="20"/>
                <w:szCs w:val="20"/>
              </w:rPr>
            </w:pPr>
            <w:r w:rsidRPr="008F3026">
              <w:rPr>
                <w:sz w:val="20"/>
                <w:szCs w:val="20"/>
              </w:rPr>
              <w:t xml:space="preserve">Габаритный размер </w:t>
            </w:r>
            <w:r w:rsidR="00FC3E83">
              <w:rPr>
                <w:sz w:val="20"/>
                <w:szCs w:val="20"/>
              </w:rPr>
              <w:t>700</w:t>
            </w:r>
            <w:r w:rsidRPr="008F3026">
              <w:rPr>
                <w:sz w:val="20"/>
                <w:szCs w:val="20"/>
              </w:rPr>
              <w:t xml:space="preserve">х500 мм – </w:t>
            </w:r>
            <w:r w:rsidR="00FC3E83">
              <w:rPr>
                <w:sz w:val="20"/>
                <w:szCs w:val="20"/>
              </w:rPr>
              <w:t>одноместная</w:t>
            </w:r>
            <w:r w:rsidR="002D15E1" w:rsidRPr="008F3026">
              <w:rPr>
                <w:sz w:val="20"/>
                <w:szCs w:val="20"/>
              </w:rPr>
              <w:t xml:space="preserve"> парта.</w:t>
            </w:r>
          </w:p>
          <w:p w:rsidR="002D15E1" w:rsidRPr="008F3026" w:rsidRDefault="002D15E1" w:rsidP="002D15E1">
            <w:pPr>
              <w:jc w:val="both"/>
              <w:rPr>
                <w:sz w:val="20"/>
                <w:szCs w:val="20"/>
              </w:rPr>
            </w:pPr>
            <w:r w:rsidRPr="008F3026">
              <w:rPr>
                <w:sz w:val="20"/>
                <w:szCs w:val="20"/>
              </w:rPr>
              <w:t>Высота парты регулируется и со</w:t>
            </w:r>
            <w:r w:rsidR="0078562F" w:rsidRPr="008F3026">
              <w:rPr>
                <w:sz w:val="20"/>
                <w:szCs w:val="20"/>
              </w:rPr>
              <w:t xml:space="preserve">ответствует ростовой группе </w:t>
            </w:r>
            <w:r w:rsidR="00FC3E83">
              <w:rPr>
                <w:sz w:val="20"/>
                <w:szCs w:val="20"/>
              </w:rPr>
              <w:t>3</w:t>
            </w:r>
            <w:r w:rsidR="00A11719">
              <w:rPr>
                <w:sz w:val="20"/>
                <w:szCs w:val="20"/>
              </w:rPr>
              <w:t>-</w:t>
            </w:r>
            <w:r w:rsidR="00FC3E83">
              <w:rPr>
                <w:sz w:val="20"/>
                <w:szCs w:val="20"/>
              </w:rPr>
              <w:t>5</w:t>
            </w:r>
            <w:r w:rsidR="0078562F" w:rsidRPr="008F3026">
              <w:rPr>
                <w:sz w:val="20"/>
                <w:szCs w:val="20"/>
              </w:rPr>
              <w:t xml:space="preserve"> (</w:t>
            </w:r>
            <w:r w:rsidR="00A11719">
              <w:rPr>
                <w:sz w:val="20"/>
                <w:szCs w:val="20"/>
              </w:rPr>
              <w:t>580-</w:t>
            </w:r>
            <w:r w:rsidRPr="008F3026">
              <w:rPr>
                <w:sz w:val="20"/>
                <w:szCs w:val="20"/>
              </w:rPr>
              <w:t>640</w:t>
            </w:r>
            <w:r w:rsidR="00FC3E83">
              <w:rPr>
                <w:sz w:val="20"/>
                <w:szCs w:val="20"/>
              </w:rPr>
              <w:t>-700</w:t>
            </w:r>
            <w:r w:rsidR="00A11719">
              <w:rPr>
                <w:sz w:val="20"/>
                <w:szCs w:val="20"/>
              </w:rPr>
              <w:t xml:space="preserve"> </w:t>
            </w:r>
            <w:r w:rsidRPr="008F3026">
              <w:rPr>
                <w:sz w:val="20"/>
                <w:szCs w:val="20"/>
              </w:rPr>
              <w:t>мм).</w:t>
            </w:r>
          </w:p>
          <w:p w:rsidR="002D15E1" w:rsidRPr="008F3026" w:rsidRDefault="002D15E1" w:rsidP="002D15E1">
            <w:pPr>
              <w:ind w:firstLine="708"/>
              <w:jc w:val="both"/>
              <w:rPr>
                <w:sz w:val="20"/>
                <w:szCs w:val="20"/>
              </w:rPr>
            </w:pPr>
            <w:r w:rsidRPr="008F3026">
              <w:rPr>
                <w:sz w:val="20"/>
                <w:szCs w:val="20"/>
              </w:rPr>
              <w:t>Нижняя часть каркаса сделана из круглой тонкостенной электросварной трубы диаметром от 32мм до 35мм, толщиной стенки от 1,</w:t>
            </w:r>
            <w:r w:rsidR="008211E9">
              <w:rPr>
                <w:sz w:val="20"/>
                <w:szCs w:val="20"/>
              </w:rPr>
              <w:t>5</w:t>
            </w:r>
            <w:r w:rsidRPr="008F3026">
              <w:rPr>
                <w:sz w:val="20"/>
                <w:szCs w:val="20"/>
              </w:rPr>
              <w:t>мм до 2мм. Верхняя часть регулировочного механизма, сделана из круглой тонкостенной электросварной трубы диаметром от 28 мм. до 32 мм., толщиной стенки от 1,</w:t>
            </w:r>
            <w:r w:rsidR="00AC2106">
              <w:rPr>
                <w:sz w:val="20"/>
                <w:szCs w:val="20"/>
              </w:rPr>
              <w:t>5</w:t>
            </w:r>
            <w:r w:rsidRPr="008F3026">
              <w:rPr>
                <w:sz w:val="20"/>
                <w:szCs w:val="20"/>
              </w:rPr>
              <w:t>мм до 2мм. Опорная часть ноги, изготовленная из круглой тонкостенной электросварной трубы диаметром от 32 мм. до 35 мм., имеет дугообразную форму с внутренним радиусом гиба от 350 мм до 380 мм, к которой примыкает круглая вертикальная опора диаметром от 32 мм. до 35 мм., в которую входит тонкостенная круглая холоднокатаная электросварная труба диаметром от 28 мм. до 32 мм., в которой сделаны четыре резьбовых отверстия под регулировочные болты М8 (</w:t>
            </w:r>
            <w:r w:rsidRPr="008F3026">
              <w:rPr>
                <w:sz w:val="20"/>
                <w:szCs w:val="20"/>
                <w:lang w:val="en-US"/>
              </w:rPr>
              <w:t>DIN</w:t>
            </w:r>
            <w:r w:rsidRPr="008F3026">
              <w:rPr>
                <w:sz w:val="20"/>
                <w:szCs w:val="20"/>
              </w:rPr>
              <w:t xml:space="preserve">912) для регулировки высоты парты.  </w:t>
            </w:r>
          </w:p>
          <w:p w:rsidR="002D15E1" w:rsidRPr="008F3026" w:rsidRDefault="002D15E1" w:rsidP="002D15E1">
            <w:pPr>
              <w:ind w:firstLine="708"/>
              <w:jc w:val="both"/>
              <w:rPr>
                <w:sz w:val="20"/>
                <w:szCs w:val="20"/>
              </w:rPr>
            </w:pPr>
            <w:r w:rsidRPr="008F3026">
              <w:rPr>
                <w:sz w:val="20"/>
                <w:szCs w:val="20"/>
              </w:rPr>
              <w:t>На опоре диаметром от 32 мм до 35 мм сделаны два отверстия, которые используются для регулировки высоты парты. Регулировка высоты обеспечивается телескопическим движением труб. Регулировочный механизм на каждой опорной ноге фиксируется двумя болтами М8 (</w:t>
            </w:r>
            <w:r w:rsidRPr="008F3026">
              <w:rPr>
                <w:sz w:val="20"/>
                <w:szCs w:val="20"/>
                <w:lang w:val="en-US"/>
              </w:rPr>
              <w:t>DIN</w:t>
            </w:r>
            <w:r w:rsidRPr="008F3026">
              <w:rPr>
                <w:sz w:val="20"/>
                <w:szCs w:val="20"/>
              </w:rPr>
              <w:t xml:space="preserve"> 912) покрашенными в цвет каркаса, расположенных на расстоянии 60 мм, отверстия для регулировочных болтов не сквозные, гайки не используются.</w:t>
            </w:r>
          </w:p>
          <w:p w:rsidR="002D15E1" w:rsidRPr="008F3026" w:rsidRDefault="002D15E1" w:rsidP="002D15E1">
            <w:pPr>
              <w:ind w:firstLine="708"/>
              <w:jc w:val="both"/>
              <w:rPr>
                <w:sz w:val="20"/>
                <w:szCs w:val="20"/>
              </w:rPr>
            </w:pPr>
            <w:r w:rsidRPr="008F3026">
              <w:rPr>
                <w:sz w:val="20"/>
                <w:szCs w:val="20"/>
              </w:rPr>
              <w:t>Жесткость каркаса обеспечивается перемычкой из круглой тонкостенной электросварной трубы диаметром от 28 мм до 32 мм, толщиной стенки от 1,</w:t>
            </w:r>
            <w:r w:rsidR="00AC2106">
              <w:rPr>
                <w:sz w:val="20"/>
                <w:szCs w:val="20"/>
              </w:rPr>
              <w:t>5</w:t>
            </w:r>
            <w:r w:rsidRPr="008F3026">
              <w:rPr>
                <w:sz w:val="20"/>
                <w:szCs w:val="20"/>
              </w:rPr>
              <w:t xml:space="preserve">мм до 2мм, перемычка закреплена сваркой на дугообразных опорных частях ног. </w:t>
            </w:r>
          </w:p>
          <w:p w:rsidR="002D15E1" w:rsidRPr="008F3026" w:rsidRDefault="002D15E1" w:rsidP="002D15E1">
            <w:pPr>
              <w:ind w:firstLine="708"/>
              <w:jc w:val="both"/>
              <w:rPr>
                <w:sz w:val="20"/>
                <w:szCs w:val="20"/>
              </w:rPr>
            </w:pPr>
            <w:r w:rsidRPr="008F3026">
              <w:rPr>
                <w:sz w:val="20"/>
                <w:szCs w:val="20"/>
              </w:rPr>
              <w:t>Крючок изготовлен из круглой трубы диаметром 6 мм., приварен к верхней внешней части вертикальной опоры и имеет пластиковый наконечник.</w:t>
            </w:r>
          </w:p>
          <w:p w:rsidR="002D15E1" w:rsidRPr="008F3026" w:rsidRDefault="002D15E1" w:rsidP="002D15E1">
            <w:pPr>
              <w:ind w:firstLine="708"/>
              <w:jc w:val="both"/>
              <w:rPr>
                <w:sz w:val="20"/>
                <w:szCs w:val="20"/>
              </w:rPr>
            </w:pPr>
            <w:r w:rsidRPr="008F3026">
              <w:rPr>
                <w:sz w:val="20"/>
                <w:szCs w:val="20"/>
              </w:rPr>
              <w:t>Верхняя часть каркаса изготовлена из стальной полосы шириной от 50 мм до 80 мм и толщиной от 4 мм до 8 мм, полоса согнута дугой, радиус которой от 330 до 380мм, на концах полосы приварены площадки от 50х50 мм до 80х80 мм из того же материала с отверстиями под болт М6 (</w:t>
            </w:r>
            <w:r w:rsidRPr="008F3026">
              <w:rPr>
                <w:sz w:val="20"/>
                <w:szCs w:val="20"/>
                <w:lang w:val="en-US"/>
              </w:rPr>
              <w:t>DIN</w:t>
            </w:r>
            <w:r w:rsidRPr="008F3026">
              <w:rPr>
                <w:sz w:val="20"/>
                <w:szCs w:val="20"/>
              </w:rPr>
              <w:t xml:space="preserve">603) для крепления столешницы. </w:t>
            </w:r>
          </w:p>
          <w:p w:rsidR="002D15E1" w:rsidRPr="008F3026" w:rsidRDefault="002D15E1" w:rsidP="002D15E1">
            <w:pPr>
              <w:ind w:firstLine="708"/>
              <w:jc w:val="both"/>
              <w:rPr>
                <w:sz w:val="20"/>
                <w:szCs w:val="20"/>
              </w:rPr>
            </w:pPr>
            <w:r w:rsidRPr="008F3026">
              <w:rPr>
                <w:sz w:val="20"/>
                <w:szCs w:val="20"/>
              </w:rPr>
              <w:t xml:space="preserve">Опорные ноги оборудованы наружными пластиковыми опорами. Опора пластиковая, изготавливается из полиэтилена, цвет черный. Опора предназначена для посадки на трубу внешним диаметром соответствующим диаметру трубы опорной ноги, внешние стенки опоры не тоньше 2мм. Назначение опоры: закрыть острый край трубы, за счет радиусной подошвы обеспечить сохранность напольного покрытия в диапазоне углов от 16 до 67 градусов наклона опорной ноги, а также придать законченный и эстетический вид изделию, в составе которого используется. Габариты не менее 73х37х44,8мм. Опора одевается на трубу, на глубину не менее 32мм, для фиксации трубы внутри заглушки сделаны упоры, для фиксации опоры к трубе саморезы не используются. В передней части опора скруглена и переходит в подошву опоры, которая имеет размеры не менее 57х36мм и выгнутую форму по радиусу от R45мм до R65мм. В нижней части опоры, по бокам сделаны вырезы треугольной формы для облегчения и придания изящности форме. </w:t>
            </w:r>
          </w:p>
          <w:p w:rsidR="002D15E1" w:rsidRPr="008F3026" w:rsidRDefault="002D15E1" w:rsidP="002D15E1">
            <w:pPr>
              <w:ind w:firstLine="708"/>
              <w:jc w:val="both"/>
              <w:rPr>
                <w:sz w:val="20"/>
                <w:szCs w:val="20"/>
              </w:rPr>
            </w:pPr>
            <w:r w:rsidRPr="008F3026">
              <w:rPr>
                <w:sz w:val="20"/>
                <w:szCs w:val="20"/>
              </w:rPr>
              <w:t>Столешница сделана из МДФ толщиной не менее 16 мм и покрытой ПВХ пленкой, методом горячего формования, цвет светлый бук, все углы скруглены, по периметру столешницы сделана фрезеровка, столешница снабжена дугообразными вырезами со стороны посадки ученика и желобом под</w:t>
            </w:r>
            <w:r w:rsidR="0078562F" w:rsidRPr="008F3026">
              <w:rPr>
                <w:sz w:val="20"/>
                <w:szCs w:val="20"/>
              </w:rPr>
              <w:t xml:space="preserve"> карандаши. Размеры столешницы </w:t>
            </w:r>
            <w:r w:rsidR="00FC3E83">
              <w:rPr>
                <w:sz w:val="20"/>
                <w:szCs w:val="20"/>
              </w:rPr>
              <w:t>70</w:t>
            </w:r>
            <w:r w:rsidRPr="008F3026">
              <w:rPr>
                <w:sz w:val="20"/>
                <w:szCs w:val="20"/>
              </w:rPr>
              <w:t>0х500мм. Столешница к каркасу крепится мебельными болтами М6 (</w:t>
            </w:r>
            <w:r w:rsidRPr="008F3026">
              <w:rPr>
                <w:sz w:val="20"/>
                <w:szCs w:val="20"/>
                <w:lang w:val="en-US"/>
              </w:rPr>
              <w:t>DIN</w:t>
            </w:r>
            <w:r w:rsidRPr="008F3026">
              <w:rPr>
                <w:sz w:val="20"/>
                <w:szCs w:val="20"/>
              </w:rPr>
              <w:t>603).</w:t>
            </w:r>
          </w:p>
          <w:p w:rsidR="002D15E1" w:rsidRPr="008F3026" w:rsidRDefault="002D15E1" w:rsidP="002D15E1">
            <w:pPr>
              <w:ind w:firstLine="708"/>
              <w:jc w:val="both"/>
              <w:rPr>
                <w:sz w:val="20"/>
                <w:szCs w:val="20"/>
              </w:rPr>
            </w:pPr>
            <w:r w:rsidRPr="008F3026">
              <w:rPr>
                <w:sz w:val="20"/>
                <w:szCs w:val="20"/>
              </w:rPr>
              <w:t>Металлический каркас окрашен эпоксидно-полиэфирной порошковой краской серого цвета.</w:t>
            </w:r>
          </w:p>
          <w:p w:rsidR="008A3184" w:rsidRPr="008A3184" w:rsidRDefault="008A3184" w:rsidP="008A3184">
            <w:pPr>
              <w:ind w:firstLine="708"/>
              <w:rPr>
                <w:i/>
                <w:sz w:val="16"/>
                <w:szCs w:val="16"/>
              </w:rPr>
            </w:pPr>
          </w:p>
        </w:tc>
      </w:tr>
      <w:tr w:rsidR="00FE10C9" w:rsidRPr="008A3184" w:rsidTr="008A3184">
        <w:tc>
          <w:tcPr>
            <w:tcW w:w="4672" w:type="dxa"/>
            <w:gridSpan w:val="2"/>
          </w:tcPr>
          <w:p w:rsidR="00FE10C9" w:rsidRPr="008A3184" w:rsidRDefault="00FE10C9" w:rsidP="00B73F4D">
            <w:pPr>
              <w:rPr>
                <w:sz w:val="20"/>
                <w:szCs w:val="20"/>
              </w:rPr>
            </w:pPr>
          </w:p>
        </w:tc>
        <w:tc>
          <w:tcPr>
            <w:tcW w:w="4673" w:type="dxa"/>
          </w:tcPr>
          <w:p w:rsidR="00FE10C9" w:rsidRDefault="00FE10C9" w:rsidP="00B73F4D">
            <w:pPr>
              <w:jc w:val="right"/>
              <w:rPr>
                <w:sz w:val="20"/>
                <w:szCs w:val="20"/>
              </w:rPr>
            </w:pPr>
          </w:p>
          <w:p w:rsidR="002D15E1" w:rsidRPr="008A3184" w:rsidRDefault="002D15E1" w:rsidP="00B73F4D">
            <w:pPr>
              <w:jc w:val="right"/>
              <w:rPr>
                <w:sz w:val="20"/>
                <w:szCs w:val="20"/>
              </w:rPr>
            </w:pPr>
          </w:p>
          <w:p w:rsidR="00FE10C9" w:rsidRPr="008A3184" w:rsidRDefault="00FE10C9" w:rsidP="00B73F4D">
            <w:pPr>
              <w:jc w:val="right"/>
              <w:rPr>
                <w:sz w:val="20"/>
                <w:szCs w:val="20"/>
              </w:rPr>
            </w:pPr>
          </w:p>
        </w:tc>
      </w:tr>
    </w:tbl>
    <w:p w:rsidR="00FE10C9" w:rsidRDefault="00FE10C9" w:rsidP="00FE10C9">
      <w:pPr>
        <w:spacing w:after="0" w:line="240" w:lineRule="auto"/>
      </w:pPr>
    </w:p>
    <w:sectPr w:rsidR="00FE10C9" w:rsidSect="008A3184">
      <w:pgSz w:w="11906" w:h="16838"/>
      <w:pgMar w:top="284" w:right="850"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C75F2" w:rsidRDefault="001C75F2" w:rsidP="00886C44">
      <w:pPr>
        <w:spacing w:after="0" w:line="240" w:lineRule="auto"/>
      </w:pPr>
      <w:r>
        <w:separator/>
      </w:r>
    </w:p>
  </w:endnote>
  <w:endnote w:type="continuationSeparator" w:id="0">
    <w:p w:rsidR="001C75F2" w:rsidRDefault="001C75F2" w:rsidP="00886C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Script">
    <w:panose1 w:val="030B0504020000000003"/>
    <w:charset w:val="CC"/>
    <w:family w:val="script"/>
    <w:pitch w:val="variable"/>
    <w:sig w:usb0="0000028F"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C75F2" w:rsidRDefault="001C75F2" w:rsidP="00886C44">
      <w:pPr>
        <w:spacing w:after="0" w:line="240" w:lineRule="auto"/>
      </w:pPr>
      <w:r>
        <w:separator/>
      </w:r>
    </w:p>
  </w:footnote>
  <w:footnote w:type="continuationSeparator" w:id="0">
    <w:p w:rsidR="001C75F2" w:rsidRDefault="001C75F2" w:rsidP="00886C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D3C300F"/>
    <w:multiLevelType w:val="hybridMultilevel"/>
    <w:tmpl w:val="A27283C2"/>
    <w:lvl w:ilvl="0" w:tplc="96C6BE8C">
      <w:numFmt w:val="bullet"/>
      <w:lvlText w:val="-"/>
      <w:lvlJc w:val="left"/>
      <w:pPr>
        <w:ind w:left="1065" w:hanging="360"/>
      </w:pPr>
      <w:rPr>
        <w:rFonts w:ascii="Calibri" w:eastAsiaTheme="minorHAnsi" w:hAnsi="Calibri" w:cstheme="minorBidi"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num w:numId="1" w16cid:durableId="2089844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6C44"/>
    <w:rsid w:val="00014D0F"/>
    <w:rsid w:val="0003127B"/>
    <w:rsid w:val="000511CA"/>
    <w:rsid w:val="0007120F"/>
    <w:rsid w:val="000A7684"/>
    <w:rsid w:val="000D2AD2"/>
    <w:rsid w:val="001257B3"/>
    <w:rsid w:val="001C27D9"/>
    <w:rsid w:val="001C75F2"/>
    <w:rsid w:val="00292E34"/>
    <w:rsid w:val="002D15E1"/>
    <w:rsid w:val="002D4BF6"/>
    <w:rsid w:val="00413D53"/>
    <w:rsid w:val="00426CEB"/>
    <w:rsid w:val="00467D57"/>
    <w:rsid w:val="004A172F"/>
    <w:rsid w:val="004A1D58"/>
    <w:rsid w:val="0059679F"/>
    <w:rsid w:val="0060724C"/>
    <w:rsid w:val="00687E9B"/>
    <w:rsid w:val="006E305D"/>
    <w:rsid w:val="00700BAE"/>
    <w:rsid w:val="00725A12"/>
    <w:rsid w:val="0078562F"/>
    <w:rsid w:val="008211E9"/>
    <w:rsid w:val="008459DF"/>
    <w:rsid w:val="00884B27"/>
    <w:rsid w:val="00886C44"/>
    <w:rsid w:val="00893676"/>
    <w:rsid w:val="008A3184"/>
    <w:rsid w:val="008C7045"/>
    <w:rsid w:val="008F3026"/>
    <w:rsid w:val="009155EF"/>
    <w:rsid w:val="00950EED"/>
    <w:rsid w:val="0096441D"/>
    <w:rsid w:val="00A11719"/>
    <w:rsid w:val="00A23791"/>
    <w:rsid w:val="00A767F5"/>
    <w:rsid w:val="00AC2106"/>
    <w:rsid w:val="00B53179"/>
    <w:rsid w:val="00B92209"/>
    <w:rsid w:val="00BE452D"/>
    <w:rsid w:val="00C1018E"/>
    <w:rsid w:val="00C440A4"/>
    <w:rsid w:val="00C816B5"/>
    <w:rsid w:val="00C86DF1"/>
    <w:rsid w:val="00CA0AF2"/>
    <w:rsid w:val="00CB6EBD"/>
    <w:rsid w:val="00CD3CED"/>
    <w:rsid w:val="00DD7CF0"/>
    <w:rsid w:val="00DE0622"/>
    <w:rsid w:val="00DE205E"/>
    <w:rsid w:val="00E70EFF"/>
    <w:rsid w:val="00F02F02"/>
    <w:rsid w:val="00F24F37"/>
    <w:rsid w:val="00F35CB9"/>
    <w:rsid w:val="00F5798C"/>
    <w:rsid w:val="00F67B67"/>
    <w:rsid w:val="00F776FC"/>
    <w:rsid w:val="00FA05EE"/>
    <w:rsid w:val="00FC3E83"/>
    <w:rsid w:val="00FD5A6C"/>
    <w:rsid w:val="00FE10C9"/>
    <w:rsid w:val="00FE21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FE39E"/>
  <w15:docId w15:val="{44C9F40E-BE4C-4C82-84F0-642DD4D8F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0A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6C4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86C44"/>
  </w:style>
  <w:style w:type="paragraph" w:styleId="a5">
    <w:name w:val="footer"/>
    <w:basedOn w:val="a"/>
    <w:link w:val="a6"/>
    <w:uiPriority w:val="99"/>
    <w:unhideWhenUsed/>
    <w:rsid w:val="00886C4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86C44"/>
  </w:style>
  <w:style w:type="table" w:styleId="a7">
    <w:name w:val="Table Grid"/>
    <w:basedOn w:val="a1"/>
    <w:uiPriority w:val="39"/>
    <w:rsid w:val="00886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A23791"/>
    <w:rPr>
      <w:color w:val="0563C1" w:themeColor="hyperlink"/>
      <w:u w:val="single"/>
    </w:rPr>
  </w:style>
  <w:style w:type="character" w:styleId="a9">
    <w:name w:val="annotation reference"/>
    <w:basedOn w:val="a0"/>
    <w:uiPriority w:val="99"/>
    <w:semiHidden/>
    <w:unhideWhenUsed/>
    <w:rsid w:val="00FE10C9"/>
    <w:rPr>
      <w:sz w:val="16"/>
      <w:szCs w:val="16"/>
    </w:rPr>
  </w:style>
  <w:style w:type="paragraph" w:styleId="aa">
    <w:name w:val="annotation text"/>
    <w:basedOn w:val="a"/>
    <w:link w:val="ab"/>
    <w:uiPriority w:val="99"/>
    <w:semiHidden/>
    <w:unhideWhenUsed/>
    <w:rsid w:val="00FE10C9"/>
    <w:pPr>
      <w:spacing w:line="240" w:lineRule="auto"/>
    </w:pPr>
    <w:rPr>
      <w:sz w:val="20"/>
      <w:szCs w:val="20"/>
    </w:rPr>
  </w:style>
  <w:style w:type="character" w:customStyle="1" w:styleId="ab">
    <w:name w:val="Текст примечания Знак"/>
    <w:basedOn w:val="a0"/>
    <w:link w:val="aa"/>
    <w:uiPriority w:val="99"/>
    <w:semiHidden/>
    <w:rsid w:val="00FE10C9"/>
    <w:rPr>
      <w:sz w:val="20"/>
      <w:szCs w:val="20"/>
    </w:rPr>
  </w:style>
  <w:style w:type="paragraph" w:styleId="ac">
    <w:name w:val="annotation subject"/>
    <w:basedOn w:val="aa"/>
    <w:next w:val="aa"/>
    <w:link w:val="ad"/>
    <w:uiPriority w:val="99"/>
    <w:semiHidden/>
    <w:unhideWhenUsed/>
    <w:rsid w:val="00FE10C9"/>
    <w:rPr>
      <w:b/>
      <w:bCs/>
    </w:rPr>
  </w:style>
  <w:style w:type="character" w:customStyle="1" w:styleId="ad">
    <w:name w:val="Тема примечания Знак"/>
    <w:basedOn w:val="ab"/>
    <w:link w:val="ac"/>
    <w:uiPriority w:val="99"/>
    <w:semiHidden/>
    <w:rsid w:val="00FE10C9"/>
    <w:rPr>
      <w:b/>
      <w:bCs/>
      <w:sz w:val="20"/>
      <w:szCs w:val="20"/>
    </w:rPr>
  </w:style>
  <w:style w:type="paragraph" w:styleId="ae">
    <w:name w:val="Balloon Text"/>
    <w:basedOn w:val="a"/>
    <w:link w:val="af"/>
    <w:uiPriority w:val="99"/>
    <w:semiHidden/>
    <w:unhideWhenUsed/>
    <w:rsid w:val="00FE10C9"/>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FE10C9"/>
    <w:rPr>
      <w:rFonts w:ascii="Segoe UI" w:hAnsi="Segoe UI" w:cs="Segoe UI"/>
      <w:sz w:val="18"/>
      <w:szCs w:val="18"/>
    </w:rPr>
  </w:style>
  <w:style w:type="paragraph" w:styleId="af0">
    <w:name w:val="List Paragraph"/>
    <w:basedOn w:val="a"/>
    <w:uiPriority w:val="34"/>
    <w:qFormat/>
    <w:rsid w:val="00FD5A6C"/>
    <w:pPr>
      <w:ind w:left="720"/>
      <w:contextualSpacing/>
    </w:pPr>
  </w:style>
  <w:style w:type="paragraph" w:styleId="2">
    <w:name w:val="Body Text 2"/>
    <w:link w:val="20"/>
    <w:rsid w:val="00F24F37"/>
    <w:pPr>
      <w:spacing w:after="120" w:line="480" w:lineRule="auto"/>
    </w:pPr>
    <w:rPr>
      <w:rFonts w:ascii="Times New Roman" w:eastAsia="Times New Roman" w:hAnsi="Times New Roman" w:cs="Times New Roman"/>
      <w:sz w:val="24"/>
      <w:szCs w:val="20"/>
      <w:lang w:eastAsia="ru-RU"/>
    </w:rPr>
  </w:style>
  <w:style w:type="character" w:customStyle="1" w:styleId="20">
    <w:name w:val="Основной текст 2 Знак"/>
    <w:basedOn w:val="a0"/>
    <w:link w:val="2"/>
    <w:rsid w:val="00F24F37"/>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464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525</Words>
  <Characters>2998</Characters>
  <Application>Microsoft Office Word</Application>
  <DocSecurity>0</DocSecurity>
  <Lines>24</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Рабочий</dc:creator>
  <cp:keywords/>
  <dc:description/>
  <cp:lastModifiedBy>Рабочий</cp:lastModifiedBy>
  <cp:revision>9</cp:revision>
  <cp:lastPrinted>2016-09-09T15:11:00Z</cp:lastPrinted>
  <dcterms:created xsi:type="dcterms:W3CDTF">2016-09-12T11:04:00Z</dcterms:created>
  <dcterms:modified xsi:type="dcterms:W3CDTF">2024-07-25T07:05:00Z</dcterms:modified>
</cp:coreProperties>
</file>