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Приложение</w:t>
      </w:r>
    </w:p>
    <w:p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  <w:t>ТЕХНИЧЕСКАЯ ЧАСТЬ</w:t>
      </w:r>
    </w:p>
    <w:p>
      <w:pPr>
        <w:spacing w:after="0" w:line="240" w:lineRule="exact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</w:pPr>
    </w:p>
    <w:p>
      <w:pPr>
        <w:spacing w:after="0" w:line="240" w:lineRule="exact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 (СПЕЦИФИКАЦИЯ)</w:t>
      </w:r>
    </w:p>
    <w:p>
      <w:pPr>
        <w:spacing w:after="0" w:line="240" w:lineRule="exac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>
      <w:pPr>
        <w:autoSpaceDE w:val="0"/>
        <w:autoSpaceDN w:val="0"/>
        <w:adjustRightInd w:val="0"/>
        <w:spacing w:after="0" w:line="240" w:lineRule="exact"/>
        <w:ind w:firstLine="539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Функциональные, технические и качественные характеристики товара. Показатели, позволяющие определить соответствие закупаемых товаров установленным требованиям.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остаточному сроку годности товара не менее 12 месяцев на момент поставки</w:t>
      </w:r>
    </w:p>
    <w:p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>
      <w:pPr>
        <w:spacing w:after="0" w:line="240" w:lineRule="exac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18" w:type="dxa"/>
        <w:tblLook w:val="04A0" w:firstRow="1" w:lastRow="0" w:firstColumn="1" w:lastColumn="0" w:noHBand="0" w:noVBand="1"/>
      </w:tblPr>
      <w:tblGrid>
        <w:gridCol w:w="516"/>
        <w:gridCol w:w="1268"/>
        <w:gridCol w:w="1840"/>
        <w:gridCol w:w="1336"/>
        <w:gridCol w:w="1219"/>
        <w:gridCol w:w="2190"/>
        <w:gridCol w:w="2559"/>
        <w:gridCol w:w="2005"/>
        <w:gridCol w:w="2775"/>
      </w:tblGrid>
      <w:tr>
        <w:trPr>
          <w:trHeight w:val="334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Код ОКПД2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(МНН лекарственного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Количество,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Показатель (характеристика) товара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 показателя (характеристики) товара, или эквивалентности предлагаемого к поставке товара, позволяющего определить соответствие потребностям заказчика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Инструкция для участника закупки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Обоснование необходимости использования характеристик, показателей, требований, условных обозначений и терминологии при описании объекта закупки (в соответствии с п. 2 ч. 1 ст. 33 Закона, ПП РФ от 15.11.2017 № 1380, от 08.02.2017 № 145 и др.)</w:t>
            </w:r>
          </w:p>
        </w:tc>
      </w:tr>
      <w:tr>
        <w:trPr>
          <w:trHeight w:val="33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21.20.10.231</w:t>
            </w:r>
          </w:p>
        </w:tc>
        <w:tc>
          <w:tcPr>
            <w:tcW w:w="0" w:type="auto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Основной вариант поставки</w:t>
            </w:r>
          </w:p>
        </w:tc>
      </w:tr>
      <w:tr>
        <w:trPr>
          <w:trHeight w:val="64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МИДАЗОЛАМ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Лекарственная форма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Раствор для внутривенного и внутримышечного введения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Участник закупки указывает (не меняя формулировок) то значение неизменного показателя, которое установил заказчик.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КТРУ</w:t>
            </w:r>
          </w:p>
        </w:tc>
      </w:tr>
      <w:tr>
        <w:trPr>
          <w:trHeight w:val="52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Дозировка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мг/мл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>
        <w:trPr>
          <w:trHeight w:val="52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Лекарственный препарат включен в перечень ЖНВЛП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>
        <w:trPr>
          <w:trHeight w:val="78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в лекарственном препарате наркотических средств, психотропных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веществ и их прекурсоров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Да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</w:tbl>
    <w:p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/>
    <w:sectPr>
      <w:footerReference w:type="default" r:id="rId6"/>
      <w:footnotePr>
        <w:numRestart w:val="eachPage"/>
      </w:footnotePr>
      <w:pgSz w:w="16840" w:h="11907" w:orient="landscape" w:code="9"/>
      <w:pgMar w:top="1276" w:right="426" w:bottom="567" w:left="568" w:header="284" w:footer="283" w:gutter="0"/>
      <w:paperSrc w:first="15" w:other="15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revisionView w:inkAnnotations="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0688A7-EA26-4177-B35B-B502E3CB4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Владимировна Козлова</dc:creator>
  <cp:keywords/>
  <dc:description/>
  <cp:lastModifiedBy>Надежда Владимировна Козлова</cp:lastModifiedBy>
  <cp:revision>4</cp:revision>
  <dcterms:created xsi:type="dcterms:W3CDTF">2024-02-01T13:08:00Z</dcterms:created>
  <dcterms:modified xsi:type="dcterms:W3CDTF">2024-05-20T10:58:00Z</dcterms:modified>
</cp:coreProperties>
</file>