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4000000">
      <w:pPr>
        <w:ind/>
        <w:jc w:val="center"/>
        <w:rPr>
          <w:b w:val="1"/>
        </w:rPr>
      </w:pPr>
      <w:bookmarkStart w:id="1" w:name="_Hlk62138221"/>
      <w:bookmarkEnd w:id="1"/>
      <w:r>
        <w:rPr>
          <w:b w:val="1"/>
        </w:rPr>
        <w:t>Договор</w:t>
      </w:r>
      <w:r>
        <w:rPr>
          <w:b w:val="1"/>
        </w:rPr>
        <w:t xml:space="preserve">№ </w:t>
      </w:r>
      <w:r>
        <w:rPr>
          <w:b w:val="1"/>
        </w:rPr>
        <w:t>___</w:t>
      </w:r>
    </w:p>
    <w:p w14:paraId="05000000">
      <w:pPr>
        <w:widowControl w:val="0"/>
        <w:ind/>
        <w:rPr>
          <w:b w:val="1"/>
        </w:rPr>
      </w:pPr>
    </w:p>
    <w:p w14:paraId="06000000">
      <w:pPr>
        <w:widowControl w:val="0"/>
        <w:tabs>
          <w:tab w:leader="none" w:pos="709" w:val="left"/>
          <w:tab w:leader="none" w:pos="1418" w:val="left"/>
          <w:tab w:leader="none" w:pos="2127" w:val="left"/>
          <w:tab w:leader="none" w:pos="7830" w:val="left"/>
        </w:tabs>
        <w:ind/>
        <w:rPr>
          <w:b w:val="1"/>
        </w:rPr>
      </w:pPr>
      <w:r>
        <w:rPr>
          <w:b w:val="1"/>
        </w:rPr>
        <w:t>Санкт – Петербург</w:t>
      </w:r>
      <w:r>
        <w:rPr>
          <w:b w:val="1"/>
        </w:rPr>
        <w:tab/>
      </w:r>
      <w:r>
        <w:rPr>
          <w:b w:val="1"/>
        </w:rPr>
        <w:t xml:space="preserve">                                                                                 </w:t>
      </w:r>
      <w:r>
        <w:rPr>
          <w:b w:val="1"/>
        </w:rPr>
        <w:t xml:space="preserve">   «</w:t>
      </w:r>
      <w:r>
        <w:rPr>
          <w:b w:val="1"/>
        </w:rPr>
        <w:t>____» _____</w:t>
      </w:r>
      <w:r>
        <w:rPr>
          <w:b w:val="1"/>
        </w:rPr>
        <w:t>202</w:t>
      </w:r>
      <w:r>
        <w:rPr>
          <w:b w:val="1"/>
        </w:rPr>
        <w:t>4</w:t>
      </w:r>
      <w:r>
        <w:rPr>
          <w:b w:val="1"/>
        </w:rPr>
        <w:t xml:space="preserve"> г</w:t>
      </w:r>
      <w:r>
        <w:rPr>
          <w:b w:val="1"/>
        </w:rPr>
        <w:t xml:space="preserve">ода </w:t>
      </w:r>
    </w:p>
    <w:p w14:paraId="07000000">
      <w:pPr>
        <w:ind w:firstLine="709" w:left="0"/>
        <w:jc w:val="both"/>
      </w:pPr>
    </w:p>
    <w:p w14:paraId="08000000">
      <w:pPr>
        <w:pStyle w:val="Style_3"/>
        <w:spacing w:after="60"/>
        <w:ind w:firstLine="708" w:left="0"/>
        <w:jc w:val="both"/>
        <w:rPr>
          <w:b w:val="1"/>
        </w:rPr>
      </w:pPr>
      <w:r>
        <w:rPr>
          <w:b w:val="1"/>
        </w:rPr>
        <w:t>Санкт-Петербургское государственное бюджетное учреждение «Дом Культуры «Суздальский» (СПб ГБУ «ДК «Суздальский»)</w:t>
      </w:r>
      <w:r>
        <w:t xml:space="preserve"> Выборгского района Санкт-Петербурга</w:t>
      </w:r>
      <w:r>
        <w:t>,</w:t>
      </w:r>
      <w:r>
        <w:t xml:space="preserve"> </w:t>
      </w:r>
      <w:r>
        <w:t xml:space="preserve">именуемое в дальнейшем «Заказчик», </w:t>
      </w:r>
      <w:r>
        <w:t>в лице директора</w:t>
      </w:r>
      <w:r>
        <w:t xml:space="preserve"> Лаптевой Т</w:t>
      </w:r>
      <w:r>
        <w:t xml:space="preserve">атьяны </w:t>
      </w:r>
      <w:r>
        <w:t>Н</w:t>
      </w:r>
      <w:r>
        <w:t>иколаевны</w:t>
      </w:r>
      <w:r>
        <w:t>,</w:t>
      </w:r>
      <w:r>
        <w:t xml:space="preserve"> </w:t>
      </w:r>
      <w:r>
        <w:t xml:space="preserve">действующего на основании Устава, с одной стороны, </w:t>
      </w:r>
      <w:r>
        <w:rPr>
          <w:b w:val="1"/>
        </w:rPr>
        <w:t xml:space="preserve">и _______________________________________ (______________________) </w:t>
      </w:r>
      <w:r>
        <w:rPr>
          <w:b w:val="1"/>
        </w:rPr>
        <w:t>,</w:t>
      </w:r>
      <w:r>
        <w:t xml:space="preserve"> имеющее </w:t>
      </w:r>
      <w:r>
        <w:t>_____________________________________________________</w:t>
      </w:r>
      <w:r>
        <w:t xml:space="preserve"> в дальнейшем именуемое как «Исполнитель», с </w:t>
      </w:r>
      <w:r>
        <w:t>другой</w:t>
      </w:r>
      <w:r>
        <w:t xml:space="preserve"> стороны,  </w:t>
      </w:r>
      <w:r>
        <w:t>совместно именуемые «Стороны», а по отдельности «Сторона», на основании п.</w:t>
      </w:r>
      <w:r>
        <w:t>5</w:t>
      </w:r>
      <w:r>
        <w:t xml:space="preserve"> ч.1 ст.93 Федерального закона от 05.04.2013г. N 44-ФЗ «О </w:t>
      </w:r>
      <w:r>
        <w:t>Договор</w:t>
      </w:r>
      <w:r>
        <w:t>ной системе в сфере закупок товаров, работ, услуг для обеспечения государственных и муниципальных нужд» (далее - Федеральный закон от 05.04.2013г. N 44-ФЗ), заключили настоящий Договор (далее - Договор) о нижеследующем:</w:t>
      </w:r>
    </w:p>
    <w:p w14:paraId="09000000">
      <w:pPr>
        <w:widowControl w:val="0"/>
        <w:ind w:firstLine="709" w:left="0"/>
        <w:jc w:val="both"/>
      </w:pPr>
    </w:p>
    <w:p w14:paraId="0A000000">
      <w:pPr>
        <w:pStyle w:val="Style_4"/>
        <w:widowControl w:val="0"/>
        <w:numPr>
          <w:ilvl w:val="0"/>
          <w:numId w:val="1"/>
        </w:numPr>
        <w:tabs>
          <w:tab w:leader="none" w:pos="1080" w:val="clear"/>
        </w:tabs>
        <w:ind w:firstLine="709" w:left="0"/>
        <w:jc w:val="center"/>
        <w:rPr>
          <w:b w:val="1"/>
          <w:caps w:val="1"/>
        </w:rPr>
      </w:pPr>
      <w:r>
        <w:rPr>
          <w:b w:val="1"/>
          <w:caps w:val="1"/>
        </w:rPr>
        <w:t xml:space="preserve">Предмет </w:t>
      </w:r>
      <w:r>
        <w:rPr>
          <w:b w:val="1"/>
          <w:caps w:val="1"/>
        </w:rPr>
        <w:t>Договора</w:t>
      </w:r>
    </w:p>
    <w:p w14:paraId="0B000000">
      <w:pPr>
        <w:pStyle w:val="Style_5"/>
        <w:numPr>
          <w:ilvl w:val="1"/>
          <w:numId w:val="2"/>
        </w:numPr>
        <w:ind w:firstLine="709" w:left="0"/>
        <w:jc w:val="both"/>
      </w:pPr>
      <w:r>
        <w:t xml:space="preserve">По настоящему </w:t>
      </w:r>
      <w:r>
        <w:t>Договору</w:t>
      </w:r>
      <w:r>
        <w:t xml:space="preserve"> Исполнитель обязуется </w:t>
      </w:r>
      <w:r>
        <w:rPr>
          <w:b w:val="1"/>
          <w:i w:val="1"/>
        </w:rPr>
        <w:t xml:space="preserve">оказать услуги по оформлению центрального входа и фойе </w:t>
      </w:r>
      <w:r>
        <w:rPr>
          <w:b w:val="1"/>
          <w:i w:val="1"/>
        </w:rPr>
        <w:t>СПБ ГБУ "Дом культуры "Суздальский"</w:t>
      </w:r>
      <w:r>
        <w:rPr>
          <w:b w:val="1"/>
          <w:i w:val="1"/>
        </w:rPr>
        <w:t xml:space="preserve"> воздушными шарами в рамках проведения Дня открытых дверей  (далее - услуги).</w:t>
      </w:r>
    </w:p>
    <w:p w14:paraId="0C000000">
      <w:pPr>
        <w:pStyle w:val="Style_5"/>
        <w:numPr>
          <w:ilvl w:val="1"/>
          <w:numId w:val="2"/>
        </w:numPr>
        <w:ind w:firstLine="709" w:left="0"/>
        <w:jc w:val="both"/>
      </w:pPr>
      <w:r>
        <w:t xml:space="preserve">Исполнитель оказывает услуги в соответствии с техническим </w:t>
      </w:r>
      <w:r>
        <w:t xml:space="preserve">заданием </w:t>
      </w:r>
      <w:r>
        <w:t xml:space="preserve">и расчетом стоимости услуг </w:t>
      </w:r>
      <w:r>
        <w:t xml:space="preserve">(Приложение № 1) </w:t>
      </w:r>
      <w:r>
        <w:t xml:space="preserve">являющимся неотъемлемой частью настоящего </w:t>
      </w:r>
      <w:r>
        <w:t>Договора</w:t>
      </w:r>
      <w:r>
        <w:t xml:space="preserve">, определяющим объем, содержание услуг, а также условиями настоящего </w:t>
      </w:r>
      <w:r>
        <w:t>Договора</w:t>
      </w:r>
      <w:r>
        <w:t xml:space="preserve">, определяющими цену услуг и </w:t>
      </w:r>
      <w:r>
        <w:t>сроки их оказания,</w:t>
      </w:r>
      <w:r>
        <w:t xml:space="preserve"> и иные обязательства Сторон, а </w:t>
      </w:r>
      <w:r>
        <w:t>Заказчик обязуется своевременно</w:t>
      </w:r>
      <w:r>
        <w:t xml:space="preserve"> и в полном объеме оплатить услуги, оказанные Исполнителем.</w:t>
      </w:r>
    </w:p>
    <w:p w14:paraId="0D000000">
      <w:pPr>
        <w:tabs>
          <w:tab w:leader="none" w:pos="720" w:val="left"/>
        </w:tabs>
        <w:ind w:firstLine="709" w:left="0"/>
        <w:jc w:val="both"/>
      </w:pPr>
    </w:p>
    <w:p w14:paraId="0E000000">
      <w:pPr>
        <w:widowControl w:val="0"/>
        <w:ind w:firstLine="709" w:left="0"/>
        <w:jc w:val="center"/>
        <w:rPr>
          <w:b w:val="1"/>
          <w:caps w:val="1"/>
        </w:rPr>
      </w:pPr>
      <w:bookmarkStart w:id="2" w:name="_Hlk19716049"/>
      <w:r>
        <w:rPr>
          <w:b w:val="1"/>
          <w:caps w:val="1"/>
        </w:rPr>
        <w:t xml:space="preserve">2. </w:t>
      </w:r>
      <w:r>
        <w:rPr>
          <w:b w:val="1"/>
          <w:caps w:val="1"/>
        </w:rPr>
        <w:t xml:space="preserve">Срок </w:t>
      </w:r>
      <w:r>
        <w:rPr>
          <w:b w:val="1"/>
          <w:caps w:val="1"/>
        </w:rPr>
        <w:t xml:space="preserve">И мЕСТО </w:t>
      </w:r>
      <w:r>
        <w:rPr>
          <w:b w:val="1"/>
          <w:caps w:val="1"/>
        </w:rPr>
        <w:t>оказания услуг</w:t>
      </w:r>
    </w:p>
    <w:p w14:paraId="0F000000">
      <w:pPr>
        <w:ind w:firstLine="709" w:left="0"/>
        <w:jc w:val="both"/>
      </w:pPr>
      <w:r>
        <w:t xml:space="preserve">2.1. </w:t>
      </w:r>
      <w:r>
        <w:t>Срок</w:t>
      </w:r>
      <w:r>
        <w:t xml:space="preserve">и место </w:t>
      </w:r>
      <w:r>
        <w:t xml:space="preserve">оказания услуг по настоящему </w:t>
      </w:r>
      <w:r>
        <w:t>Договору</w:t>
      </w:r>
      <w:r>
        <w:t xml:space="preserve">: </w:t>
      </w:r>
    </w:p>
    <w:p w14:paraId="10000000">
      <w:pPr>
        <w:ind w:firstLine="709" w:left="0"/>
        <w:jc w:val="both"/>
      </w:pPr>
      <w:r>
        <w:t xml:space="preserve">2.1.1. </w:t>
      </w:r>
      <w:r>
        <w:t>Дата проведения: 01</w:t>
      </w:r>
      <w:r>
        <w:t xml:space="preserve"> сентября </w:t>
      </w:r>
      <w:r>
        <w:t>20</w:t>
      </w:r>
      <w:r>
        <w:t>2</w:t>
      </w:r>
      <w:r>
        <w:t>4</w:t>
      </w:r>
      <w:r>
        <w:t xml:space="preserve"> г.</w:t>
      </w:r>
    </w:p>
    <w:p w14:paraId="11000000">
      <w:pPr>
        <w:ind w:firstLine="709" w:left="0"/>
        <w:jc w:val="both"/>
      </w:pPr>
      <w:r>
        <w:t>2.1.2 Время готовности: 10.00</w:t>
      </w:r>
    </w:p>
    <w:p w14:paraId="12000000">
      <w:pPr>
        <w:ind w:firstLine="709" w:left="0"/>
        <w:outlineLvl w:val="0"/>
      </w:pPr>
      <w:r>
        <w:t xml:space="preserve">2.1.3. </w:t>
      </w:r>
      <w:r>
        <w:t xml:space="preserve">Место проведения: </w:t>
      </w:r>
      <w:r>
        <w:t xml:space="preserve">СПб, Суздальский проспект, дом 3, корпус 1, </w:t>
      </w:r>
      <w:r>
        <w:t xml:space="preserve">главный вход и фойе  </w:t>
      </w:r>
      <w:r>
        <w:t>СПб ГБУ «</w:t>
      </w:r>
      <w:r>
        <w:t>Дом культуры «Суздальский»</w:t>
      </w:r>
      <w:r>
        <w:t>.</w:t>
      </w:r>
    </w:p>
    <w:p w14:paraId="13000000">
      <w:pPr>
        <w:spacing w:after="60"/>
        <w:ind w:firstLine="709" w:left="0"/>
        <w:jc w:val="both"/>
      </w:pPr>
      <w:r>
        <w:rPr>
          <w:color w:val="000000"/>
        </w:rPr>
        <w:t xml:space="preserve">2.1.4. Идентификационный код закупки (ИКЗ) </w:t>
      </w:r>
    </w:p>
    <w:p w14:paraId="14000000">
      <w:pPr>
        <w:ind w:firstLine="709" w:left="0"/>
        <w:outlineLvl w:val="0"/>
      </w:pPr>
    </w:p>
    <w:p w14:paraId="15000000">
      <w:pPr>
        <w:widowControl w:val="0"/>
        <w:numPr>
          <w:ilvl w:val="0"/>
          <w:numId w:val="3"/>
        </w:numPr>
        <w:tabs>
          <w:tab w:leader="none" w:pos="435" w:val="left"/>
        </w:tabs>
        <w:ind w:firstLine="0" w:left="0"/>
        <w:jc w:val="center"/>
        <w:rPr>
          <w:b w:val="1"/>
        </w:rPr>
      </w:pPr>
      <w:r>
        <w:rPr>
          <w:b w:val="1"/>
        </w:rPr>
        <w:t xml:space="preserve">ЦЕНА </w:t>
      </w:r>
      <w:r>
        <w:rPr>
          <w:b w:val="1"/>
        </w:rPr>
        <w:t>ДОГОВОРА</w:t>
      </w:r>
      <w:r>
        <w:rPr>
          <w:b w:val="1"/>
        </w:rPr>
        <w:t xml:space="preserve"> И ПОРЯДОК РАСЧЕТОВ</w:t>
      </w:r>
    </w:p>
    <w:p w14:paraId="16000000">
      <w:pPr>
        <w:widowControl w:val="0"/>
        <w:numPr>
          <w:ilvl w:val="1"/>
          <w:numId w:val="3"/>
        </w:numPr>
        <w:tabs>
          <w:tab w:leader="none" w:pos="1418" w:val="left"/>
        </w:tabs>
        <w:ind w:firstLine="709" w:left="0"/>
        <w:jc w:val="both"/>
      </w:pPr>
      <w:r>
        <w:t xml:space="preserve">Цена </w:t>
      </w:r>
      <w:r>
        <w:t>Договора</w:t>
      </w:r>
      <w:r>
        <w:t xml:space="preserve"> составляет</w:t>
      </w:r>
      <w:r>
        <w:t>___________________.</w:t>
      </w:r>
    </w:p>
    <w:p w14:paraId="17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hAnsi="Times New Roman"/>
          <w:sz w:val="24"/>
        </w:rPr>
        <w:t>Договора</w:t>
      </w:r>
      <w:r>
        <w:rPr>
          <w:rFonts w:ascii="Times New Roman" w:hAnsi="Times New Roman"/>
          <w:sz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Цена за единицу услуги устанавливается в российских рублях и остается неизменной на весь срок исполнения настоящего </w:t>
      </w:r>
      <w:r>
        <w:rPr>
          <w:rFonts w:ascii="Times New Roman" w:hAnsi="Times New Roman"/>
          <w:sz w:val="24"/>
        </w:rPr>
        <w:t>Договора</w:t>
      </w:r>
      <w:r>
        <w:rPr>
          <w:rFonts w:ascii="Times New Roman" w:hAnsi="Times New Roman"/>
          <w:sz w:val="24"/>
        </w:rPr>
        <w:t xml:space="preserve">. Цена </w:t>
      </w:r>
      <w:r>
        <w:rPr>
          <w:rFonts w:ascii="Times New Roman" w:hAnsi="Times New Roman"/>
          <w:sz w:val="24"/>
        </w:rPr>
        <w:t>Договора</w:t>
      </w:r>
      <w:r>
        <w:rPr>
          <w:rFonts w:ascii="Times New Roman" w:hAnsi="Times New Roman"/>
          <w:sz w:val="24"/>
        </w:rPr>
        <w:t xml:space="preserve"> включает стоимость оказанных услуг и иных расходов, связанных с оказанием услуги, 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14:paraId="19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Цена настоящего </w:t>
      </w:r>
      <w:r>
        <w:rPr>
          <w:rFonts w:ascii="Times New Roman" w:hAnsi="Times New Roman"/>
          <w:sz w:val="24"/>
        </w:rPr>
        <w:t>Договора</w:t>
      </w:r>
      <w:r>
        <w:rPr>
          <w:rFonts w:ascii="Times New Roman" w:hAnsi="Times New Roman"/>
          <w:sz w:val="24"/>
        </w:rPr>
        <w:t xml:space="preserve"> является твердой и определяется на весь срок исполнения </w:t>
      </w:r>
      <w:r>
        <w:rPr>
          <w:rFonts w:ascii="Times New Roman" w:hAnsi="Times New Roman"/>
          <w:sz w:val="24"/>
        </w:rPr>
        <w:t>Договора</w:t>
      </w:r>
      <w:r>
        <w:rPr>
          <w:rFonts w:ascii="Times New Roman" w:hAnsi="Times New Roman"/>
          <w:sz w:val="24"/>
        </w:rPr>
        <w:t>.</w:t>
      </w:r>
    </w:p>
    <w:p w14:paraId="1A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Цена настоящего </w:t>
      </w:r>
      <w:r>
        <w:rPr>
          <w:rFonts w:ascii="Times New Roman" w:hAnsi="Times New Roman"/>
          <w:sz w:val="24"/>
        </w:rPr>
        <w:t>Договора</w:t>
      </w:r>
      <w:r>
        <w:rPr>
          <w:rFonts w:ascii="Times New Roman" w:hAnsi="Times New Roman"/>
          <w:sz w:val="24"/>
        </w:rPr>
        <w:t xml:space="preserve"> может быть снижена по соглашению сторон без изменения, предусмотренного контрактом объема, качества услуги и иных условий исполнения </w:t>
      </w:r>
      <w:r>
        <w:rPr>
          <w:rFonts w:ascii="Times New Roman" w:hAnsi="Times New Roman"/>
          <w:sz w:val="24"/>
        </w:rPr>
        <w:t>Договора</w:t>
      </w:r>
      <w:r>
        <w:rPr>
          <w:rFonts w:ascii="Times New Roman" w:hAnsi="Times New Roman"/>
          <w:sz w:val="24"/>
        </w:rPr>
        <w:t xml:space="preserve">.  </w:t>
      </w:r>
    </w:p>
    <w:p w14:paraId="1B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Pr>
          <w:rFonts w:ascii="Times New Roman" w:hAnsi="Times New Roman"/>
          <w:sz w:val="24"/>
        </w:rPr>
        <w:t>Договора</w:t>
      </w:r>
      <w:r>
        <w:rPr>
          <w:rFonts w:ascii="Times New Roman" w:hAnsi="Times New Roman"/>
          <w:sz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w:t>
      </w:r>
      <w:r>
        <w:rPr>
          <w:rFonts w:ascii="Times New Roman" w:hAnsi="Times New Roman"/>
          <w:sz w:val="24"/>
        </w:rPr>
        <w:t>Договора</w:t>
      </w:r>
      <w:r>
        <w:rPr>
          <w:rFonts w:ascii="Times New Roman" w:hAnsi="Times New Roman"/>
          <w:sz w:val="24"/>
        </w:rPr>
        <w:t xml:space="preserve">. При уменьшении предусмотренного контрактом объема услуги стороны </w:t>
      </w:r>
      <w:r>
        <w:rPr>
          <w:rFonts w:ascii="Times New Roman" w:hAnsi="Times New Roman"/>
          <w:sz w:val="24"/>
        </w:rPr>
        <w:t>Договора</w:t>
      </w:r>
      <w:r>
        <w:rPr>
          <w:rFonts w:ascii="Times New Roman" w:hAnsi="Times New Roman"/>
          <w:sz w:val="24"/>
        </w:rPr>
        <w:t xml:space="preserve"> обязаны уменьшить цену </w:t>
      </w:r>
      <w:r>
        <w:rPr>
          <w:rFonts w:ascii="Times New Roman" w:hAnsi="Times New Roman"/>
          <w:sz w:val="24"/>
        </w:rPr>
        <w:t>Договора</w:t>
      </w:r>
      <w:r>
        <w:rPr>
          <w:rFonts w:ascii="Times New Roman" w:hAnsi="Times New Roman"/>
          <w:sz w:val="24"/>
        </w:rPr>
        <w:t xml:space="preserve"> исходя из цены единицы услуги.</w:t>
      </w:r>
    </w:p>
    <w:p w14:paraId="1C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Оплата за оказанную услугу осуществляется заказчиком в течение </w:t>
      </w:r>
      <w:r>
        <w:rPr>
          <w:rFonts w:ascii="Times New Roman" w:hAnsi="Times New Roman"/>
          <w:sz w:val="24"/>
        </w:rPr>
        <w:t>7</w:t>
      </w:r>
      <w:r>
        <w:rPr>
          <w:rFonts w:ascii="Times New Roman" w:hAnsi="Times New Roman"/>
          <w:sz w:val="24"/>
        </w:rPr>
        <w:t xml:space="preserve"> (</w:t>
      </w:r>
      <w:r>
        <w:rPr>
          <w:rFonts w:ascii="Times New Roman" w:hAnsi="Times New Roman"/>
          <w:sz w:val="24"/>
        </w:rPr>
        <w:t>Семи</w:t>
      </w:r>
      <w:r>
        <w:rPr>
          <w:rFonts w:ascii="Times New Roman" w:hAnsi="Times New Roman"/>
          <w:sz w:val="24"/>
        </w:rPr>
        <w:t xml:space="preserve">) дней с даты подписания заказчиком акта сдачи-приемки оказанных услуг (по форме приложения № 3 к </w:t>
      </w:r>
      <w:r>
        <w:rPr>
          <w:rFonts w:ascii="Times New Roman" w:hAnsi="Times New Roman"/>
          <w:sz w:val="24"/>
        </w:rPr>
        <w:t>Договору</w:t>
      </w:r>
      <w:r>
        <w:rPr>
          <w:rFonts w:ascii="Times New Roman" w:hAnsi="Times New Roman"/>
          <w:sz w:val="24"/>
        </w:rPr>
        <w:t xml:space="preserve">), на основании акта сдачи-приемки оказанных услуг, счета. </w:t>
      </w:r>
    </w:p>
    <w:p w14:paraId="1D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1E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ab/>
      </w:r>
      <w:r>
        <w:rPr>
          <w:rFonts w:ascii="Times New Roman" w:hAnsi="Times New Roman"/>
          <w:sz w:val="24"/>
        </w:rPr>
        <w:t xml:space="preserve">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 </w:t>
      </w:r>
    </w:p>
    <w:p w14:paraId="1F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0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Обязанности заказчика по оплате считаются исполненными с даты списания денежных средств с расчетного счета заказчика.</w:t>
      </w:r>
    </w:p>
    <w:p w14:paraId="21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Оплата по настоящему </w:t>
      </w:r>
      <w:r>
        <w:rPr>
          <w:rFonts w:ascii="Times New Roman" w:hAnsi="Times New Roman"/>
          <w:sz w:val="24"/>
        </w:rPr>
        <w:t>Договору</w:t>
      </w:r>
      <w:r>
        <w:rPr>
          <w:rFonts w:ascii="Times New Roman" w:hAnsi="Times New Roman"/>
          <w:sz w:val="24"/>
        </w:rPr>
        <w:t xml:space="preserve"> осуществляется: Внебюджетные средства.  Средства бюджетных учреждений. Код целевой статьи </w:t>
      </w:r>
      <w:r>
        <w:br/>
      </w:r>
      <w:r>
        <w:rPr>
          <w:rFonts w:ascii="Times New Roman" w:hAnsi="Times New Roman"/>
          <w:sz w:val="24"/>
        </w:rPr>
        <w:t>0850070270</w:t>
      </w:r>
      <w:r>
        <w:rPr>
          <w:rFonts w:ascii="Times New Roman" w:hAnsi="Times New Roman"/>
          <w:sz w:val="24"/>
        </w:rPr>
        <w:t xml:space="preserve">, код вида расходов 244, КОСГУ 226 (Субсидии на </w:t>
      </w:r>
      <w:r>
        <w:rPr>
          <w:rFonts w:ascii="Times New Roman" w:hAnsi="Times New Roman"/>
          <w:sz w:val="24"/>
        </w:rPr>
        <w:t>государственное задание</w:t>
      </w:r>
      <w:r>
        <w:rPr>
          <w:rFonts w:ascii="Times New Roman" w:hAnsi="Times New Roman"/>
          <w:sz w:val="24"/>
        </w:rPr>
        <w:t xml:space="preserve">). </w:t>
      </w:r>
    </w:p>
    <w:p w14:paraId="22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В случае неисполнения или ненадлежащего исполнения обязательства, предусмотренного контрактом, заказчик вправе произвести оплату по </w:t>
      </w:r>
      <w:r>
        <w:rPr>
          <w:rFonts w:ascii="Times New Roman" w:hAnsi="Times New Roman"/>
          <w:sz w:val="24"/>
        </w:rPr>
        <w:t>Договору</w:t>
      </w:r>
      <w:r>
        <w:rPr>
          <w:rFonts w:ascii="Times New Roman" w:hAnsi="Times New Roman"/>
          <w:sz w:val="24"/>
        </w:rPr>
        <w:t xml:space="preserve"> за вычетом соответствующего размера неустойки (штрафа, пени).</w:t>
      </w:r>
    </w:p>
    <w:p w14:paraId="23000000">
      <w:pPr>
        <w:pStyle w:val="Style_6"/>
        <w:widowControl w:val="0"/>
        <w:numPr>
          <w:ilvl w:val="1"/>
          <w:numId w:val="3"/>
        </w:numPr>
        <w:tabs>
          <w:tab w:leader="none" w:pos="1135" w:val="left"/>
        </w:tabs>
        <w:spacing w:line="240" w:lineRule="auto"/>
        <w:ind w:firstLine="709" w:left="0"/>
        <w:jc w:val="both"/>
        <w:rPr>
          <w:rFonts w:ascii="Times New Roman" w:hAnsi="Times New Roman"/>
          <w:sz w:val="24"/>
        </w:rPr>
      </w:pPr>
      <w:r>
        <w:rPr>
          <w:rFonts w:ascii="Times New Roman" w:hAnsi="Times New Roman"/>
          <w:sz w:val="24"/>
        </w:rPr>
        <w:t xml:space="preserve">При этом оплата по </w:t>
      </w:r>
      <w:r>
        <w:rPr>
          <w:rFonts w:ascii="Times New Roman" w:hAnsi="Times New Roman"/>
          <w:sz w:val="24"/>
        </w:rPr>
        <w:t>Договору</w:t>
      </w:r>
      <w:r>
        <w:rPr>
          <w:rFonts w:ascii="Times New Roman" w:hAnsi="Times New Roman"/>
          <w:sz w:val="24"/>
        </w:rPr>
        <w:t xml:space="preserve"> осуществляется на основании акта сдачи-приемки оказанных услуг, в котором указываются: сумма, подлежащая оплате в соответствии с условиями заключенного </w:t>
      </w:r>
      <w:r>
        <w:rPr>
          <w:rFonts w:ascii="Times New Roman" w:hAnsi="Times New Roman"/>
          <w:sz w:val="24"/>
        </w:rPr>
        <w:t>Договора</w:t>
      </w:r>
      <w:r>
        <w:rPr>
          <w:rFonts w:ascii="Times New Roman" w:hAnsi="Times New Roman"/>
          <w:sz w:val="24"/>
        </w:rPr>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Pr>
          <w:rFonts w:ascii="Times New Roman" w:hAnsi="Times New Roman"/>
          <w:sz w:val="24"/>
        </w:rPr>
        <w:t>Договору</w:t>
      </w:r>
      <w:r>
        <w:rPr>
          <w:rFonts w:ascii="Times New Roman" w:hAnsi="Times New Roman"/>
          <w:sz w:val="24"/>
        </w:rPr>
        <w:t>.</w:t>
      </w:r>
    </w:p>
    <w:p w14:paraId="24000000">
      <w:pPr>
        <w:widowControl w:val="0"/>
        <w:tabs>
          <w:tab w:leader="none" w:pos="1418" w:val="left"/>
        </w:tabs>
        <w:ind w:firstLine="709" w:left="0"/>
        <w:jc w:val="both"/>
      </w:pPr>
      <w:r>
        <w:t>.</w:t>
      </w:r>
    </w:p>
    <w:p w14:paraId="25000000">
      <w:pPr>
        <w:numPr>
          <w:ilvl w:val="0"/>
          <w:numId w:val="3"/>
        </w:numPr>
        <w:tabs>
          <w:tab w:leader="none" w:pos="435" w:val="left"/>
        </w:tabs>
        <w:ind w:firstLine="709" w:left="0"/>
        <w:jc w:val="center"/>
        <w:rPr>
          <w:b w:val="1"/>
        </w:rPr>
      </w:pPr>
      <w:r>
        <w:rPr>
          <w:b w:val="1"/>
        </w:rPr>
        <w:t>ПОРЯДОК СДАЧИ И ПРИЕМКИ УСЛУГ</w:t>
      </w:r>
    </w:p>
    <w:p w14:paraId="26000000">
      <w:pPr>
        <w:numPr>
          <w:ilvl w:val="1"/>
          <w:numId w:val="3"/>
        </w:numPr>
        <w:ind w:firstLine="709" w:left="0"/>
        <w:contextualSpacing w:val="1"/>
        <w:jc w:val="both"/>
        <w:rPr>
          <w:b w:val="1"/>
          <w:i w:val="1"/>
          <w:u w:val="single"/>
        </w:rPr>
      </w:pPr>
      <w:r>
        <w:rPr>
          <w:color w:val="000000"/>
        </w:rPr>
        <w:t xml:space="preserve">По окончании оказания услуг исполнитель в течение 1 (одного) рабочего дня </w:t>
      </w:r>
      <w:r>
        <w:t xml:space="preserve">представляет заказчику акт сдачи-приемки оказанных услуг </w:t>
      </w:r>
      <w:r>
        <w:t xml:space="preserve">по форме Приложения № 1 к </w:t>
      </w:r>
      <w:r>
        <w:t>Договору</w:t>
      </w:r>
      <w:r>
        <w:t xml:space="preserve"> в 2-х экземпляр</w:t>
      </w:r>
      <w:r>
        <w:t>ах.</w:t>
      </w:r>
    </w:p>
    <w:p w14:paraId="27000000">
      <w:pPr>
        <w:widowControl w:val="0"/>
        <w:numPr>
          <w:ilvl w:val="1"/>
          <w:numId w:val="3"/>
        </w:numPr>
        <w:ind w:firstLine="709" w:left="0"/>
        <w:contextualSpacing w:val="1"/>
        <w:jc w:val="both"/>
      </w:pPr>
      <w:r>
        <w:t xml:space="preserve">Приемка оказанных услуг в соответствии с контрактом осуществляется заказчиком в течение 1 (одного) рабочего дня, включая проведение экспертизы (в течение 1 (одного) рабочего дня), со дня получения заказчиком документов, предусмотренных пунктом 3.1 настоящего </w:t>
      </w:r>
      <w:r>
        <w:t>Договора</w:t>
      </w:r>
      <w:r>
        <w:t>.</w:t>
      </w:r>
    </w:p>
    <w:p w14:paraId="28000000">
      <w:pPr>
        <w:widowControl w:val="0"/>
        <w:numPr>
          <w:ilvl w:val="1"/>
          <w:numId w:val="3"/>
        </w:numPr>
        <w:ind w:firstLine="709" w:left="0"/>
        <w:contextualSpacing w:val="1"/>
        <w:jc w:val="both"/>
      </w:pPr>
      <w:r>
        <w:rPr>
          <w:color w:val="000000"/>
        </w:rPr>
        <w:t xml:space="preserve">При приемке услуг заказчик обязан провести экспертизу для проверки оказанных исполнителем услуг, предусмотренных контрактом, в части их соответствия условиям </w:t>
      </w:r>
      <w:r>
        <w:rPr>
          <w:color w:val="000000"/>
        </w:rPr>
        <w:t>Договора</w:t>
      </w:r>
      <w:r>
        <w:rPr>
          <w:color w:val="000000"/>
        </w:rPr>
        <w:t xml:space="preserve">. </w:t>
      </w:r>
      <w: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29000000">
      <w:pPr>
        <w:widowControl w:val="0"/>
        <w:numPr>
          <w:ilvl w:val="1"/>
          <w:numId w:val="3"/>
        </w:numPr>
        <w:ind w:firstLine="709" w:left="0"/>
        <w:contextualSpacing w:val="1"/>
        <w:jc w:val="both"/>
      </w:pPr>
      <w:r>
        <w:t xml:space="preserve">В случае проведения экспертизы силами заказчика в акте сдачи-приемки оказанных услуг проставляется запись о проведении экспертизы, отдельный документ о проведенной экспертизе не составляется. </w:t>
      </w:r>
    </w:p>
    <w:p w14:paraId="2A000000">
      <w:pPr>
        <w:widowControl w:val="0"/>
        <w:numPr>
          <w:ilvl w:val="1"/>
          <w:numId w:val="3"/>
        </w:numPr>
        <w:ind w:firstLine="709" w:left="0"/>
        <w:contextualSpacing w:val="1"/>
        <w:jc w:val="both"/>
      </w:pPr>
      <w:r>
        <w:t>В случае привлечения экспертов, экспертных организаций для проведения экспертизы результаты такой экспертизы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2B000000">
      <w:pPr>
        <w:widowControl w:val="0"/>
        <w:numPr>
          <w:ilvl w:val="1"/>
          <w:numId w:val="3"/>
        </w:numPr>
        <w:ind w:firstLine="709" w:left="0"/>
        <w:contextualSpacing w:val="1"/>
        <w:jc w:val="both"/>
      </w:pPr>
      <w:r>
        <w:t xml:space="preserve">Не позднее 1 (одного) рабочего дня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сдачи-приемки оказанных услуг или мотивированный отказ (приложение № 5 к </w:t>
      </w:r>
      <w:r>
        <w:t>Договору</w:t>
      </w:r>
      <w:r>
        <w:t>) от подписания такого документа.</w:t>
      </w:r>
    </w:p>
    <w:p w14:paraId="2C000000">
      <w:pPr>
        <w:widowControl w:val="0"/>
        <w:numPr>
          <w:ilvl w:val="1"/>
          <w:numId w:val="3"/>
        </w:numPr>
        <w:ind w:firstLine="709" w:left="0"/>
        <w:contextualSpacing w:val="1"/>
        <w:jc w:val="both"/>
      </w:pPr>
      <w:r>
        <w:t xml:space="preserve">Мотивированный отказ от подписания акта сдачи-приемки оказанных услуг (приложение № 5 к </w:t>
      </w:r>
      <w:r>
        <w:t>Договору</w:t>
      </w:r>
      <w:r>
        <w:t>) заказчик направляет при обнаружении в ходе приемки недостатков в результатах оказанных услуг, в котором фиксируется перечень недостатков, сроки их устранения исполнителем, а также дата повторной приемки результатов оказанных услуг. Исполнитель обязан устранить все обнаруженные недостатки за свой счет в сроки, указанные в мотивированном отказе.</w:t>
      </w:r>
    </w:p>
    <w:p w14:paraId="2D000000">
      <w:pPr>
        <w:widowControl w:val="0"/>
        <w:numPr>
          <w:ilvl w:val="1"/>
          <w:numId w:val="3"/>
        </w:numPr>
        <w:ind w:firstLine="709" w:left="0"/>
        <w:contextualSpacing w:val="1"/>
        <w:jc w:val="both"/>
      </w:pPr>
      <w:r>
        <w:t xml:space="preserve"> Датой приемки оказанных услуг считается дата подписания акта сдачи-приемки оказанных услуг заказчиком без замечаний. </w:t>
      </w:r>
    </w:p>
    <w:p w14:paraId="2E000000">
      <w:pPr>
        <w:widowControl w:val="0"/>
        <w:numPr>
          <w:ilvl w:val="1"/>
          <w:numId w:val="3"/>
        </w:numPr>
        <w:ind w:firstLine="709" w:left="0"/>
        <w:contextualSpacing w:val="1"/>
        <w:jc w:val="both"/>
      </w:pPr>
      <w:r>
        <w:t>По решению заказчика для приемки услуг, оказанных в соответствии с контрактом, может создаваться приемочная комиссия.</w:t>
      </w:r>
    </w:p>
    <w:p w14:paraId="2F000000">
      <w:pPr>
        <w:widowControl w:val="0"/>
        <w:numPr>
          <w:ilvl w:val="1"/>
          <w:numId w:val="3"/>
        </w:numPr>
        <w:ind w:firstLine="709" w:left="0"/>
        <w:contextualSpacing w:val="1"/>
        <w:jc w:val="both"/>
      </w:pPr>
      <w:r>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 подтверждающих затраты заказчика.</w:t>
      </w:r>
    </w:p>
    <w:p w14:paraId="30000000">
      <w:pPr>
        <w:keepNext w:val="1"/>
        <w:ind w:firstLine="720" w:left="0"/>
        <w:jc w:val="center"/>
        <w:rPr>
          <w:b w:val="1"/>
        </w:rPr>
      </w:pPr>
    </w:p>
    <w:p w14:paraId="31000000">
      <w:pPr>
        <w:tabs>
          <w:tab w:leader="none" w:pos="1260" w:val="left"/>
        </w:tabs>
        <w:ind w:firstLine="600" w:left="0" w:right="-285"/>
        <w:jc w:val="center"/>
        <w:rPr>
          <w:b w:val="1"/>
          <w:spacing w:val="-4"/>
        </w:rPr>
      </w:pPr>
      <w:r>
        <w:rPr>
          <w:b w:val="1"/>
          <w:spacing w:val="-4"/>
        </w:rPr>
        <w:t>4. ГАРАНТИИ КАЧЕСТВА</w:t>
      </w:r>
    </w:p>
    <w:p w14:paraId="32000000">
      <w:pPr>
        <w:ind w:firstLine="709" w:left="0"/>
        <w:jc w:val="both"/>
      </w:pPr>
      <w:r>
        <w:t xml:space="preserve">4.1. Исполнитель гарантирует качественное оказание услуг. В случае, если оказанные исполнителем услуги не будут соответствовать техническому заданию и </w:t>
      </w:r>
      <w:r>
        <w:t>действующим нормам</w:t>
      </w:r>
      <w: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14:paraId="33000000">
      <w:pPr>
        <w:ind w:firstLine="709" w:left="0"/>
        <w:jc w:val="both"/>
      </w:pPr>
      <w:r>
        <w:t>4.2.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14:paraId="34000000">
      <w:pPr>
        <w:ind w:firstLine="709" w:left="0"/>
        <w:jc w:val="both"/>
      </w:pPr>
      <w:r>
        <w:t xml:space="preserve">4.3. Заказчик, обнаруживший после приемки оказанных услуг отступления в результатах оказанных услуг от настоящего </w:t>
      </w:r>
      <w:r>
        <w:t>Договора</w:t>
      </w:r>
      <w:r>
        <w:t xml:space="preserve">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14:paraId="35000000">
      <w:pPr>
        <w:ind w:firstLine="709" w:left="0"/>
        <w:jc w:val="both"/>
      </w:pPr>
      <w:r>
        <w:t>4.4.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исполнитель обязан направить своего представителя не позднее 2 (двух) дней со дня получения письменного извещения заказчика. Устранение недостатков и дефектов производится исполнителем за свой счет.</w:t>
      </w:r>
    </w:p>
    <w:p w14:paraId="36000000">
      <w:pPr>
        <w:ind w:firstLine="709" w:left="0"/>
        <w:jc w:val="both"/>
      </w:pPr>
      <w:r>
        <w:t>В случае отсутствия представителя исполнителя акт составляется в одностороннем порядке. Акт направляется заказчиком исполнителю на следующий день после его составления. Исполнитель обязан возместить расходы заказчика на устранение недостатков и дефектов в результатах оказанных услуг в срок, указанный в требовании заказчика. В случае, если такой срок заказчиком не назначен, расходы должны быть возмещены в разумный срок с момента получения требований. Расходы подлежат возмещению при условии предоставления заказчиком подтверждающих их документов.</w:t>
      </w:r>
    </w:p>
    <w:p w14:paraId="37000000">
      <w:pPr>
        <w:ind w:firstLine="709" w:left="0"/>
        <w:jc w:val="both"/>
      </w:pPr>
      <w:r>
        <w:t xml:space="preserve">4.5. При возникновении между заказчиком и исполнителем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настоящего </w:t>
      </w:r>
      <w:r>
        <w:t>Договора</w:t>
      </w:r>
      <w:r>
        <w:t xml:space="preserve">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38000000">
      <w:pPr>
        <w:ind w:firstLine="709" w:left="0"/>
        <w:jc w:val="both"/>
      </w:pPr>
      <w:r>
        <w:t xml:space="preserve">4.6.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w:t>
      </w:r>
      <w:r>
        <w:t>заказчик вправе устранить дефекты самостоятельно, взыскав с исполнителя полную стоимость понесенных расходов и других убытков, стоимость проведения экспертизы.</w:t>
      </w:r>
    </w:p>
    <w:p w14:paraId="39000000">
      <w:pPr>
        <w:ind w:firstLine="709" w:left="0"/>
        <w:jc w:val="both"/>
      </w:pPr>
    </w:p>
    <w:p w14:paraId="3A000000">
      <w:pPr>
        <w:keepNext w:val="1"/>
        <w:ind/>
        <w:jc w:val="center"/>
        <w:rPr>
          <w:b w:val="1"/>
        </w:rPr>
      </w:pPr>
      <w:r>
        <w:rPr>
          <w:b w:val="1"/>
        </w:rPr>
        <w:t>5. ПРАВА И ОБЯЗАННОСТИ СТОРОН</w:t>
      </w:r>
    </w:p>
    <w:p w14:paraId="3B000000">
      <w:pPr>
        <w:pStyle w:val="Style_6"/>
        <w:widowControl w:val="0"/>
        <w:numPr>
          <w:ilvl w:val="1"/>
          <w:numId w:val="4"/>
        </w:numPr>
        <w:spacing w:after="0" w:line="240" w:lineRule="auto"/>
        <w:ind w:firstLine="709" w:left="0"/>
        <w:jc w:val="both"/>
        <w:rPr>
          <w:rFonts w:ascii="Times New Roman" w:hAnsi="Times New Roman"/>
          <w:sz w:val="24"/>
        </w:rPr>
      </w:pPr>
      <w:r>
        <w:rPr>
          <w:rFonts w:ascii="Times New Roman" w:hAnsi="Times New Roman"/>
          <w:sz w:val="24"/>
        </w:rPr>
        <w:t>Заказчик вправе:</w:t>
      </w:r>
    </w:p>
    <w:p w14:paraId="3C000000">
      <w:pPr>
        <w:widowControl w:val="0"/>
        <w:numPr>
          <w:ilvl w:val="2"/>
          <w:numId w:val="4"/>
        </w:numPr>
        <w:ind w:firstLine="709" w:left="0"/>
        <w:jc w:val="both"/>
      </w:pPr>
      <w: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3D000000">
      <w:pPr>
        <w:widowControl w:val="0"/>
        <w:numPr>
          <w:ilvl w:val="2"/>
          <w:numId w:val="4"/>
        </w:numPr>
        <w:ind w:firstLine="709" w:left="0"/>
        <w:jc w:val="both"/>
      </w:pPr>
      <w: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14:paraId="3E000000">
      <w:pPr>
        <w:widowControl w:val="0"/>
        <w:numPr>
          <w:ilvl w:val="2"/>
          <w:numId w:val="4"/>
        </w:numPr>
        <w:ind w:firstLine="709" w:left="0"/>
        <w:jc w:val="both"/>
      </w:pPr>
      <w:r>
        <w:t>Запрашивать у исполнителя информацию о ходе оказываемых услуг.</w:t>
      </w:r>
    </w:p>
    <w:p w14:paraId="3F000000">
      <w:pPr>
        <w:widowControl w:val="0"/>
        <w:numPr>
          <w:ilvl w:val="2"/>
          <w:numId w:val="4"/>
        </w:numPr>
        <w:ind w:firstLine="709" w:left="0"/>
        <w:jc w:val="both"/>
      </w:pPr>
      <w:r>
        <w:t>Осуществлять контроль за качеством, порядком и сроками оказания услуг.</w:t>
      </w:r>
    </w:p>
    <w:p w14:paraId="40000000">
      <w:pPr>
        <w:widowControl w:val="0"/>
        <w:numPr>
          <w:ilvl w:val="2"/>
          <w:numId w:val="4"/>
        </w:numPr>
        <w:ind w:firstLine="709" w:left="0"/>
        <w:jc w:val="both"/>
      </w:pPr>
      <w: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41000000">
      <w:pPr>
        <w:widowControl w:val="0"/>
        <w:numPr>
          <w:ilvl w:val="2"/>
          <w:numId w:val="4"/>
        </w:numPr>
        <w:ind w:firstLine="709" w:left="0"/>
        <w:jc w:val="both"/>
      </w:pPr>
      <w:r>
        <w:t xml:space="preserve">Принять решение об одностороннем отказе от исполнения настоящего </w:t>
      </w:r>
      <w:r>
        <w:t>Договора</w:t>
      </w:r>
      <w:r>
        <w:t xml:space="preserve"> в соответствии с гражданским законодательством </w:t>
      </w:r>
      <w:r>
        <w:t>Российской Федерации</w:t>
      </w:r>
      <w:r>
        <w:t>.</w:t>
      </w:r>
    </w:p>
    <w:p w14:paraId="42000000">
      <w:pPr>
        <w:widowControl w:val="0"/>
        <w:numPr>
          <w:ilvl w:val="2"/>
          <w:numId w:val="4"/>
        </w:numPr>
        <w:ind w:firstLine="709" w:left="0"/>
        <w:jc w:val="both"/>
      </w:pPr>
      <w:r>
        <w:t xml:space="preserve">До принятия решения об одностороннем отказе от исполнения </w:t>
      </w:r>
      <w:r>
        <w:t>Договора</w:t>
      </w:r>
      <w:r>
        <w:t xml:space="preserve"> провести экспертизу оказанных услуг с привлечением экспертов, экспертных организаций, выбор которых осуществляется в соответствии с Федеральным </w:t>
      </w:r>
      <w:r>
        <w:fldChar w:fldCharType="begin"/>
      </w:r>
      <w:r>
        <w:instrText>HYPERLINK "consultantplus://offline/ref=D58D44D7757C4EA161CC2826CA287296EDAAE1F780274E1E9494DFE7972AYFG"</w:instrText>
      </w:r>
      <w:r>
        <w:fldChar w:fldCharType="separate"/>
      </w:r>
      <w:r>
        <w:t>законом</w:t>
      </w:r>
      <w:r>
        <w:fldChar w:fldCharType="end"/>
      </w:r>
      <w:r>
        <w:t xml:space="preserve"> № 44-ФЗ.</w:t>
      </w:r>
    </w:p>
    <w:p w14:paraId="43000000">
      <w:pPr>
        <w:widowControl w:val="0"/>
        <w:numPr>
          <w:ilvl w:val="2"/>
          <w:numId w:val="4"/>
        </w:numPr>
        <w:ind w:firstLine="709" w:left="0"/>
        <w:jc w:val="both"/>
      </w:pPr>
      <w:r>
        <w:t xml:space="preserve">При неисполнении или ненадлежащем исполнении исполнителем обязательства, предусмотренного контрактом, осуществить оплату по </w:t>
      </w:r>
      <w:r>
        <w:t>Договору</w:t>
      </w:r>
      <w:r>
        <w:t xml:space="preserve"> за вычетом соответствующего размера неустоек (штрафов, пеней), которые предусмотрены разделом 7 настоящего </w:t>
      </w:r>
      <w:r>
        <w:t>Договора</w:t>
      </w:r>
      <w:r>
        <w:t>.</w:t>
      </w:r>
    </w:p>
    <w:p w14:paraId="44000000">
      <w:pPr>
        <w:widowControl w:val="0"/>
        <w:numPr>
          <w:ilvl w:val="2"/>
          <w:numId w:val="4"/>
        </w:numPr>
        <w:ind w:firstLine="709" w:left="0"/>
        <w:jc w:val="both"/>
      </w:pPr>
      <w:r>
        <w:t>Осуществлять иные права, предусмотренные действующим законодательством Российской Федерации.</w:t>
      </w:r>
    </w:p>
    <w:p w14:paraId="45000000">
      <w:pPr>
        <w:widowControl w:val="0"/>
        <w:numPr>
          <w:ilvl w:val="1"/>
          <w:numId w:val="4"/>
        </w:numPr>
        <w:ind w:firstLine="709" w:left="0"/>
        <w:jc w:val="both"/>
      </w:pPr>
      <w:r>
        <w:t>Заказчик обязан:</w:t>
      </w:r>
    </w:p>
    <w:p w14:paraId="46000000">
      <w:pPr>
        <w:widowControl w:val="0"/>
        <w:numPr>
          <w:ilvl w:val="2"/>
          <w:numId w:val="4"/>
        </w:numPr>
        <w:ind w:firstLine="709" w:left="0"/>
        <w:jc w:val="both"/>
      </w:pPr>
      <w:r>
        <w:t>Своевременно принять и оплатить надлежащим образом оказанные услуги в соответствии с контрактом.</w:t>
      </w:r>
    </w:p>
    <w:p w14:paraId="47000000">
      <w:pPr>
        <w:widowControl w:val="0"/>
        <w:numPr>
          <w:ilvl w:val="2"/>
          <w:numId w:val="4"/>
        </w:numPr>
        <w:ind w:firstLine="709" w:left="0"/>
        <w:jc w:val="both"/>
      </w:pPr>
      <w:r>
        <w:t>Сообщать исполнителю о недостатках, обнаруженных в ходе оказания услуг, в течение 1 (одного) рабочего дня после обнаружения таких недостатков.</w:t>
      </w:r>
    </w:p>
    <w:p w14:paraId="48000000">
      <w:pPr>
        <w:numPr>
          <w:ilvl w:val="2"/>
          <w:numId w:val="4"/>
        </w:numPr>
        <w:tabs>
          <w:tab w:leader="none" w:pos="1701" w:val="left"/>
        </w:tabs>
        <w:ind w:firstLine="709" w:left="0"/>
        <w:contextualSpacing w:val="1"/>
        <w:jc w:val="both"/>
      </w:pPr>
      <w: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14:paraId="49000000">
      <w:pPr>
        <w:widowControl w:val="0"/>
        <w:numPr>
          <w:ilvl w:val="2"/>
          <w:numId w:val="4"/>
        </w:numPr>
        <w:tabs>
          <w:tab w:leader="none" w:pos="709" w:val="left"/>
          <w:tab w:leader="none" w:pos="1330" w:val="left"/>
        </w:tabs>
        <w:ind w:firstLine="709" w:left="0"/>
        <w:jc w:val="both"/>
      </w:pPr>
      <w:r>
        <w:t xml:space="preserve">Провести экспертизу оказанных услуг для проверки их соответствия условиям </w:t>
      </w:r>
      <w:r>
        <w:t>Договора</w:t>
      </w:r>
      <w:r>
        <w:t xml:space="preserve"> в соответствии с Федеральным </w:t>
      </w:r>
      <w:r>
        <w:fldChar w:fldCharType="begin"/>
      </w:r>
      <w:r>
        <w:instrText>HYPERLINK "consultantplus://offline/ref=D58D44D7757C4EA161CC2826CA287296EDAAE1F780274E1E9494DFE7972AYFG"</w:instrText>
      </w:r>
      <w:r>
        <w:fldChar w:fldCharType="separate"/>
      </w:r>
      <w:r>
        <w:t>законом</w:t>
      </w:r>
      <w:r>
        <w:fldChar w:fldCharType="end"/>
      </w:r>
      <w:r>
        <w:t xml:space="preserve"> №44-ФЗ.</w:t>
      </w:r>
    </w:p>
    <w:p w14:paraId="4A000000">
      <w:pPr>
        <w:widowControl w:val="0"/>
        <w:numPr>
          <w:ilvl w:val="2"/>
          <w:numId w:val="4"/>
        </w:numPr>
        <w:ind w:firstLine="709" w:left="0"/>
        <w:jc w:val="both"/>
      </w:pPr>
      <w:r>
        <w:t xml:space="preserve">Осуществлять иные обязанности, предусмотренные законодательством Российской Федерации и условиями </w:t>
      </w:r>
      <w:r>
        <w:t>Договора</w:t>
      </w:r>
      <w:r>
        <w:t>.</w:t>
      </w:r>
    </w:p>
    <w:p w14:paraId="4B000000">
      <w:pPr>
        <w:widowControl w:val="0"/>
        <w:numPr>
          <w:ilvl w:val="1"/>
          <w:numId w:val="4"/>
        </w:numPr>
        <w:ind w:firstLine="709" w:left="0"/>
        <w:jc w:val="both"/>
      </w:pPr>
      <w:r>
        <w:t>Исполнитель вправе:</w:t>
      </w:r>
    </w:p>
    <w:p w14:paraId="4C000000">
      <w:pPr>
        <w:widowControl w:val="0"/>
        <w:numPr>
          <w:ilvl w:val="2"/>
          <w:numId w:val="4"/>
        </w:numPr>
        <w:ind w:firstLine="709" w:left="0"/>
        <w:jc w:val="both"/>
      </w:pPr>
      <w:r>
        <w:t>Требовать своевременного подписания заказчиком отчетных документов, предусмотренных контрактом.</w:t>
      </w:r>
    </w:p>
    <w:p w14:paraId="4D000000">
      <w:pPr>
        <w:widowControl w:val="0"/>
        <w:numPr>
          <w:ilvl w:val="2"/>
          <w:numId w:val="4"/>
        </w:numPr>
        <w:ind w:firstLine="709" w:left="0"/>
        <w:jc w:val="both"/>
      </w:pPr>
      <w:r>
        <w:t xml:space="preserve">Требовать своевременной оплаты оказанных услуг в соответствии с </w:t>
      </w:r>
      <w:r>
        <w:t>условиями</w:t>
      </w:r>
      <w:r>
        <w:t xml:space="preserve"> </w:t>
      </w:r>
      <w:r>
        <w:t>Договора</w:t>
      </w:r>
      <w:r>
        <w:t>.</w:t>
      </w:r>
    </w:p>
    <w:p w14:paraId="4E000000">
      <w:pPr>
        <w:numPr>
          <w:ilvl w:val="2"/>
          <w:numId w:val="4"/>
        </w:numPr>
        <w:tabs>
          <w:tab w:leader="none" w:pos="1701" w:val="left"/>
        </w:tabs>
        <w:ind w:firstLine="709" w:left="0"/>
        <w:contextualSpacing w:val="1"/>
        <w:jc w:val="both"/>
      </w:pPr>
      <w:r>
        <w:t>Обращаться к заказчику за организационным содействием в целях проведения мероприятий по улучшению качества оказываемых услуг.</w:t>
      </w:r>
    </w:p>
    <w:p w14:paraId="4F000000">
      <w:pPr>
        <w:numPr>
          <w:ilvl w:val="2"/>
          <w:numId w:val="4"/>
        </w:numPr>
        <w:tabs>
          <w:tab w:leader="none" w:pos="1701" w:val="left"/>
        </w:tabs>
        <w:ind w:firstLine="709" w:left="0"/>
        <w:contextualSpacing w:val="1"/>
        <w:jc w:val="both"/>
      </w:pPr>
      <w:r>
        <w:t>Самостоятельно определять количество специалистов, необходимых для оказания услуг заказчику.</w:t>
      </w:r>
    </w:p>
    <w:p w14:paraId="50000000">
      <w:pPr>
        <w:widowControl w:val="0"/>
        <w:numPr>
          <w:ilvl w:val="2"/>
          <w:numId w:val="4"/>
        </w:numPr>
        <w:ind w:firstLine="709" w:left="0"/>
        <w:jc w:val="both"/>
      </w:pPr>
      <w:r>
        <w:t>Осуществлять иные права, предусмотренные действующим законодательством Российской Федерации.</w:t>
      </w:r>
    </w:p>
    <w:p w14:paraId="51000000">
      <w:pPr>
        <w:widowControl w:val="0"/>
        <w:numPr>
          <w:ilvl w:val="1"/>
          <w:numId w:val="4"/>
        </w:numPr>
        <w:ind w:firstLine="709" w:left="0"/>
        <w:jc w:val="both"/>
      </w:pPr>
      <w:r>
        <w:t>Исполнитель обязан:</w:t>
      </w:r>
    </w:p>
    <w:p w14:paraId="52000000">
      <w:pPr>
        <w:widowControl w:val="0"/>
        <w:numPr>
          <w:ilvl w:val="2"/>
          <w:numId w:val="4"/>
        </w:numPr>
        <w:ind w:firstLine="709" w:left="0"/>
        <w:jc w:val="both"/>
      </w:pPr>
      <w:r>
        <w:t>Своевременно и надлежащим образом оказать услуги и представить заказчику отчетную документацию.</w:t>
      </w:r>
    </w:p>
    <w:p w14:paraId="53000000">
      <w:pPr>
        <w:widowControl w:val="0"/>
        <w:numPr>
          <w:ilvl w:val="2"/>
          <w:numId w:val="4"/>
        </w:numPr>
        <w:ind w:firstLine="709" w:left="0"/>
        <w:jc w:val="both"/>
      </w:pPr>
      <w:r>
        <w:t xml:space="preserve">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w:t>
      </w:r>
      <w:r>
        <w:t>Договора</w:t>
      </w:r>
      <w:r>
        <w:t>.</w:t>
      </w:r>
      <w:bookmarkStart w:id="3" w:name="P1179"/>
      <w:bookmarkEnd w:id="3"/>
    </w:p>
    <w:p w14:paraId="54000000">
      <w:pPr>
        <w:widowControl w:val="0"/>
        <w:numPr>
          <w:ilvl w:val="2"/>
          <w:numId w:val="4"/>
        </w:numPr>
        <w:ind w:firstLine="709" w:left="0"/>
        <w:jc w:val="both"/>
      </w:pPr>
      <w:r>
        <w:t xml:space="preserve">Обеспечить соответствие оказываемых Услуг требованиям качества и </w:t>
      </w:r>
      <w:r>
        <w:t xml:space="preserve">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t>Договора</w:t>
      </w:r>
      <w:r>
        <w:t>.</w:t>
      </w:r>
    </w:p>
    <w:p w14:paraId="55000000">
      <w:pPr>
        <w:widowControl w:val="0"/>
        <w:numPr>
          <w:ilvl w:val="2"/>
          <w:numId w:val="4"/>
        </w:numPr>
        <w:ind w:firstLine="709" w:left="0"/>
        <w:jc w:val="both"/>
      </w:pPr>
      <w: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4" w:name="P1182"/>
      <w:bookmarkEnd w:id="4"/>
    </w:p>
    <w:p w14:paraId="56000000">
      <w:pPr>
        <w:widowControl w:val="0"/>
        <w:numPr>
          <w:ilvl w:val="2"/>
          <w:numId w:val="4"/>
        </w:numPr>
        <w:ind w:firstLine="709" w:left="0"/>
        <w:jc w:val="both"/>
      </w:pPr>
      <w:r>
        <w:t>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заказчику в течение 3 (трех) рабочих дней после приостановления оказания Услуг.</w:t>
      </w:r>
      <w:bookmarkStart w:id="5" w:name="P1186"/>
      <w:bookmarkEnd w:id="5"/>
    </w:p>
    <w:p w14:paraId="57000000">
      <w:pPr>
        <w:pStyle w:val="Style_6"/>
        <w:widowControl w:val="0"/>
        <w:numPr>
          <w:ilvl w:val="1"/>
          <w:numId w:val="4"/>
        </w:numPr>
        <w:spacing w:after="0" w:line="240" w:lineRule="auto"/>
        <w:ind w:firstLine="709" w:left="0"/>
        <w:jc w:val="both"/>
        <w:rPr>
          <w:rFonts w:ascii="Times New Roman" w:hAnsi="Times New Roman"/>
          <w:sz w:val="24"/>
        </w:rPr>
      </w:pPr>
      <w:r>
        <w:rPr>
          <w:rFonts w:ascii="Times New Roman" w:hAnsi="Times New Roman"/>
          <w:sz w:val="24"/>
        </w:rPr>
        <w:t xml:space="preserve">Осуществлять иные обязанности, предусмотренные законодательством Российской Федерации и условиями </w:t>
      </w:r>
      <w:r>
        <w:rPr>
          <w:rFonts w:ascii="Times New Roman" w:hAnsi="Times New Roman"/>
          <w:sz w:val="24"/>
        </w:rPr>
        <w:t>Договора</w:t>
      </w:r>
      <w:r>
        <w:rPr>
          <w:rFonts w:ascii="Times New Roman" w:hAnsi="Times New Roman"/>
          <w:sz w:val="24"/>
        </w:rPr>
        <w:t>.</w:t>
      </w:r>
    </w:p>
    <w:p w14:paraId="58000000">
      <w:pPr>
        <w:ind/>
        <w:jc w:val="center"/>
      </w:pPr>
    </w:p>
    <w:p w14:paraId="59000000">
      <w:pPr>
        <w:widowControl w:val="0"/>
        <w:tabs>
          <w:tab w:leader="none" w:pos="435" w:val="left"/>
          <w:tab w:leader="none" w:pos="1418" w:val="left"/>
        </w:tabs>
        <w:ind/>
        <w:jc w:val="center"/>
        <w:rPr>
          <w:b w:val="1"/>
        </w:rPr>
      </w:pPr>
      <w:r>
        <w:rPr>
          <w:b w:val="1"/>
        </w:rPr>
        <w:t>6. ОТВЕТСТВЕННОСТЬ СТОРОН</w:t>
      </w:r>
    </w:p>
    <w:p w14:paraId="5A000000">
      <w:pPr>
        <w:ind w:firstLine="1134" w:left="0"/>
        <w:jc w:val="both"/>
        <w:rPr>
          <w:i w:val="1"/>
        </w:rPr>
      </w:pPr>
      <w:r>
        <w:t xml:space="preserve">6.1.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w:t>
      </w:r>
      <w:r>
        <w:t>Договора</w:t>
      </w:r>
      <w:r>
        <w:t xml:space="preserve">. </w:t>
      </w:r>
    </w:p>
    <w:p w14:paraId="5B000000">
      <w:pPr>
        <w:ind w:firstLine="1134" w:left="0"/>
        <w:jc w:val="both"/>
      </w:pPr>
      <w:r>
        <w:t xml:space="preserve">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C000000">
      <w:pPr>
        <w:ind w:firstLine="1134" w:left="0"/>
        <w:jc w:val="both"/>
        <w:rPr>
          <w:i w:val="1"/>
        </w:rPr>
      </w:pPr>
      <w:r>
        <w:t xml:space="preserve">6.3. </w:t>
      </w:r>
      <w: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14:paraId="5D000000">
      <w:pPr>
        <w:ind w:firstLine="1134" w:left="0"/>
        <w:contextualSpacing w:val="1"/>
        <w:jc w:val="both"/>
      </w:pPr>
      <w:r>
        <w:t xml:space="preserve">6.4.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t>контрактом</w:t>
      </w:r>
      <w:r>
        <w:t xml:space="preserve"> исполнитель вправе потребовать уплаты неустоек (штрафов, пеней).</w:t>
      </w:r>
    </w:p>
    <w:p w14:paraId="5E000000">
      <w:pPr>
        <w:ind w:firstLine="1134" w:left="0"/>
        <w:contextualSpacing w:val="1"/>
        <w:jc w:val="both"/>
      </w:pPr>
      <w:r>
        <w:t xml:space="preserve">Общая сумма </w:t>
      </w:r>
      <w:r>
        <w:t>начисленныхштрафов</w:t>
      </w:r>
      <w:r>
        <w:t xml:space="preserve"> за ненадлежащее исполнение заказчиком обязательств, предусмотренных контрактом, не может превышать цену </w:t>
      </w:r>
      <w:r>
        <w:t>Договора</w:t>
      </w:r>
      <w:r>
        <w:t xml:space="preserve">. </w:t>
      </w:r>
    </w:p>
    <w:p w14:paraId="5F000000">
      <w:pPr>
        <w:ind w:firstLine="1134" w:left="0"/>
        <w:contextualSpacing w:val="1"/>
        <w:jc w:val="both"/>
      </w:pPr>
      <w:r>
        <w:t xml:space="preserve">6.4.1. </w:t>
      </w: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000000">
      <w:pPr>
        <w:ind w:firstLine="1134" w:left="0"/>
        <w:contextualSpacing w:val="1"/>
        <w:jc w:val="both"/>
      </w:pPr>
      <w:r>
        <w:t xml:space="preserve">6.4.2. </w:t>
      </w:r>
      <w:r>
        <w:t>Штрафы</w:t>
      </w:r>
      <w: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1000000">
      <w:pPr>
        <w:ind w:firstLine="1134" w:left="0"/>
        <w:contextualSpacing w:val="1"/>
        <w:jc w:val="both"/>
      </w:pPr>
      <w:r>
        <w:t xml:space="preserve">а) 1000 рублей, если цена </w:t>
      </w:r>
      <w:r>
        <w:t>Договора</w:t>
      </w:r>
      <w:r>
        <w:t xml:space="preserve"> не превышает 3 млн. рублей (включительно);</w:t>
      </w:r>
    </w:p>
    <w:p w14:paraId="62000000">
      <w:pPr>
        <w:ind w:firstLine="1134" w:left="0"/>
        <w:jc w:val="both"/>
      </w:pPr>
      <w: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w:t>
      </w:r>
      <w:r>
        <w:t>(штрафов, пеней)</w:t>
      </w:r>
      <w:r>
        <w:t xml:space="preserve">. </w:t>
      </w:r>
    </w:p>
    <w:p w14:paraId="63000000">
      <w:pPr>
        <w:ind w:firstLine="1134" w:left="0"/>
        <w:jc w:val="both"/>
      </w:pPr>
      <w:r>
        <w:t xml:space="preserve">Общая сумма </w:t>
      </w:r>
      <w:r>
        <w:t>начисленныхштрафов</w:t>
      </w:r>
      <w:r>
        <w:t xml:space="preserve"> за неисполнение или ненадлежащее исполнение исполнителем обязательств, предусмотренных контрактом, не может превышать цену </w:t>
      </w:r>
      <w:r>
        <w:t>Договора</w:t>
      </w:r>
      <w:r>
        <w:t xml:space="preserve">. </w:t>
      </w:r>
    </w:p>
    <w:p w14:paraId="64000000">
      <w:pPr>
        <w:ind w:firstLine="1134" w:left="0"/>
        <w:jc w:val="both"/>
      </w:pPr>
      <w:r>
        <w:t xml:space="preserve">6.5.1.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w:t>
      </w:r>
      <w:r>
        <w:fldChar w:fldCharType="begin"/>
      </w:r>
      <w:r>
        <w:instrText>HYPERLINK "consultantplus://offline/ref=679F1DF366E1F9391D4039B7A711DEC8745EE70380ECA3618E4F0986lAlEL"</w:instrText>
      </w:r>
      <w:r>
        <w:fldChar w:fldCharType="separate"/>
      </w:r>
      <w:r>
        <w:t>ставки</w:t>
      </w:r>
      <w:r>
        <w:fldChar w:fldCharType="end"/>
      </w:r>
      <w:r>
        <w:t xml:space="preserve"> Центрального банка Российской Федерации от цены </w:t>
      </w:r>
      <w:r>
        <w:t>Договора</w:t>
      </w:r>
      <w:r>
        <w:t xml:space="preserve">, уменьшенной на сумму, пропорциональную объему обязательств, предусмотренных контрактом и фактически исполненных </w:t>
      </w:r>
      <w:r>
        <w:t>исполнителем, за исключением случаев, если законодательством Российской Федерации установлен иной порядок начисления пени.</w:t>
      </w:r>
    </w:p>
    <w:p w14:paraId="65000000">
      <w:pPr>
        <w:ind w:firstLine="1134" w:left="0"/>
        <w:jc w:val="both"/>
      </w:pPr>
      <w:r>
        <w:t xml:space="preserve">6.5.2. </w:t>
      </w: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14:paraId="66000000">
      <w:pPr>
        <w:ind w:firstLine="1134" w:left="0"/>
        <w:jc w:val="both"/>
      </w:pPr>
      <w:r>
        <w:t>6.5.2</w:t>
      </w:r>
      <w:r>
        <w:t xml:space="preserve">.1.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r>
        <w:t xml:space="preserve">пунктами </w:t>
      </w:r>
      <w:r>
        <w:t>6</w:t>
      </w:r>
      <w:r>
        <w:t>.5.2</w:t>
      </w:r>
      <w:r>
        <w:t xml:space="preserve">.2 настоящего </w:t>
      </w:r>
      <w:r>
        <w:t>Договора</w:t>
      </w:r>
      <w:r>
        <w:t>):</w:t>
      </w:r>
    </w:p>
    <w:p w14:paraId="67000000">
      <w:pPr>
        <w:ind w:firstLine="1134" w:left="0"/>
        <w:jc w:val="both"/>
      </w:pPr>
      <w:r>
        <w:t xml:space="preserve">а) 10 процентов цены </w:t>
      </w:r>
      <w:r>
        <w:t>Договора</w:t>
      </w:r>
      <w:r>
        <w:t xml:space="preserve"> (этапа) в случае, если цена </w:t>
      </w:r>
      <w:r>
        <w:t>Договора</w:t>
      </w:r>
      <w:r>
        <w:t xml:space="preserve"> (этапа) не превышает 3 млн. рублей;</w:t>
      </w:r>
    </w:p>
    <w:p w14:paraId="68000000">
      <w:pPr>
        <w:ind w:firstLine="1134" w:left="0"/>
        <w:jc w:val="both"/>
      </w:pPr>
      <w:r>
        <w:t>6.5.2.2.</w:t>
      </w:r>
      <w: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9000000">
      <w:pPr>
        <w:ind w:firstLine="1134" w:left="0"/>
        <w:jc w:val="both"/>
      </w:pPr>
      <w:r>
        <w:t xml:space="preserve">а) 1000 рублей, если цена </w:t>
      </w:r>
      <w:r>
        <w:t>Договора</w:t>
      </w:r>
      <w:r>
        <w:t xml:space="preserve"> не превышает 3 млн. рублей;</w:t>
      </w:r>
    </w:p>
    <w:p w14:paraId="6A000000">
      <w:pPr>
        <w:ind w:firstLine="1134" w:left="0"/>
        <w:jc w:val="both"/>
      </w:pPr>
      <w:r>
        <w:t>6.5.2.3.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B000000">
      <w:pPr>
        <w:ind w:firstLine="709" w:left="0"/>
      </w:pPr>
    </w:p>
    <w:p w14:paraId="6C000000">
      <w:pPr>
        <w:pStyle w:val="Style_6"/>
        <w:spacing w:after="0" w:line="240" w:lineRule="auto"/>
        <w:ind w:firstLine="0" w:left="0"/>
        <w:jc w:val="center"/>
        <w:rPr>
          <w:rFonts w:ascii="Times New Roman" w:hAnsi="Times New Roman"/>
          <w:b w:val="1"/>
          <w:sz w:val="24"/>
        </w:rPr>
      </w:pPr>
      <w:r>
        <w:rPr>
          <w:rFonts w:ascii="Times New Roman" w:hAnsi="Times New Roman"/>
          <w:b w:val="1"/>
          <w:sz w:val="24"/>
        </w:rPr>
        <w:t>7. АНТИКОРРУПЦИОННАЯ ОГОВОРКА</w:t>
      </w:r>
    </w:p>
    <w:p w14:paraId="6D000000">
      <w:pPr>
        <w:pStyle w:val="Style_6"/>
        <w:numPr>
          <w:ilvl w:val="1"/>
          <w:numId w:val="5"/>
        </w:numPr>
        <w:spacing w:after="0" w:line="240" w:lineRule="auto"/>
        <w:ind w:firstLine="1134" w:left="0"/>
        <w:jc w:val="both"/>
        <w:rPr>
          <w:rFonts w:ascii="Times New Roman" w:hAnsi="Times New Roman"/>
          <w:sz w:val="24"/>
        </w:rPr>
      </w:pPr>
      <w:r>
        <w:rPr>
          <w:rFonts w:ascii="Times New Roman" w:hAnsi="Times New Roman"/>
          <w:sz w:val="24"/>
        </w:rPr>
        <w:t xml:space="preserve">При исполнении своих обязательств по настоящему </w:t>
      </w:r>
      <w:r>
        <w:rPr>
          <w:rFonts w:ascii="Times New Roman" w:hAnsi="Times New Roman"/>
          <w:sz w:val="24"/>
        </w:rPr>
        <w:t>Договору</w:t>
      </w:r>
      <w:r>
        <w:rPr>
          <w:rFonts w:ascii="Times New Roman" w:hAnsi="Times New Roman"/>
          <w:sz w:val="24"/>
        </w:rPr>
        <w:t>,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E000000">
      <w:pPr>
        <w:pStyle w:val="Style_6"/>
        <w:numPr>
          <w:ilvl w:val="1"/>
          <w:numId w:val="5"/>
        </w:numPr>
        <w:spacing w:after="0" w:line="240" w:lineRule="auto"/>
        <w:ind w:firstLine="1134" w:left="0"/>
        <w:jc w:val="both"/>
        <w:rPr>
          <w:rFonts w:ascii="Times New Roman" w:hAnsi="Times New Roman"/>
          <w:sz w:val="24"/>
        </w:rPr>
      </w:pPr>
      <w:r>
        <w:rPr>
          <w:rFonts w:ascii="Times New Roman" w:hAnsi="Times New Roman"/>
          <w:sz w:val="24"/>
        </w:rPr>
        <w:t xml:space="preserve">При исполнении своих обязательств по настоящему </w:t>
      </w:r>
      <w:r>
        <w:rPr>
          <w:rFonts w:ascii="Times New Roman" w:hAnsi="Times New Roman"/>
          <w:sz w:val="24"/>
        </w:rPr>
        <w:t>Договору</w:t>
      </w:r>
      <w:r>
        <w:rPr>
          <w:rFonts w:ascii="Times New Roman" w:hAnsi="Times New Roman"/>
          <w:sz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Pr>
          <w:rFonts w:ascii="Times New Roman" w:hAnsi="Times New Roman"/>
          <w:sz w:val="24"/>
        </w:rPr>
        <w:t>Договора</w:t>
      </w:r>
      <w:r>
        <w:rPr>
          <w:rFonts w:ascii="Times New Roman" w:hAnsi="Times New Roman"/>
          <w:sz w:val="24"/>
        </w:rPr>
        <w:t xml:space="preserve">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F000000">
      <w:pPr>
        <w:pStyle w:val="Style_6"/>
        <w:numPr>
          <w:ilvl w:val="1"/>
          <w:numId w:val="5"/>
        </w:numPr>
        <w:spacing w:after="0" w:line="240" w:lineRule="auto"/>
        <w:ind w:firstLine="1134" w:left="0"/>
        <w:jc w:val="both"/>
        <w:rPr>
          <w:rFonts w:ascii="Times New Roman" w:hAnsi="Times New Roman"/>
          <w:sz w:val="24"/>
        </w:rPr>
      </w:pPr>
      <w:r>
        <w:rPr>
          <w:rFonts w:ascii="Times New Roman" w:hAnsi="Times New Roman"/>
          <w:sz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Pr>
          <w:rFonts w:ascii="Times New Roman" w:hAnsi="Times New Roman"/>
          <w:sz w:val="24"/>
        </w:rPr>
        <w:t xml:space="preserve"> </w:t>
      </w:r>
      <w:r>
        <w:rPr>
          <w:rFonts w:ascii="Times New Roman" w:hAnsi="Times New Roman"/>
          <w:sz w:val="24"/>
        </w:rPr>
        <w:t>Это подтверждение должно быть направлено в течение десяти рабочих дней с даты направления письменного уведомления.</w:t>
      </w:r>
    </w:p>
    <w:p w14:paraId="70000000">
      <w:pPr>
        <w:ind w:firstLine="1134" w:left="0"/>
        <w:jc w:val="both"/>
        <w:rPr>
          <w:b w:val="1"/>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1000000">
      <w:pPr>
        <w:pStyle w:val="Style_6"/>
        <w:numPr>
          <w:ilvl w:val="1"/>
          <w:numId w:val="5"/>
        </w:numPr>
        <w:spacing w:after="0" w:line="240" w:lineRule="auto"/>
        <w:ind w:firstLine="1134" w:left="0"/>
        <w:jc w:val="both"/>
        <w:rPr>
          <w:rFonts w:ascii="Times New Roman" w:hAnsi="Times New Roman"/>
          <w:sz w:val="24"/>
        </w:rPr>
      </w:pPr>
      <w:r>
        <w:rPr>
          <w:rFonts w:ascii="Times New Roman" w:hAnsi="Times New Roman"/>
          <w:sz w:val="24"/>
        </w:rPr>
        <w:t xml:space="preserve">В случае нарушения одной стороной обязательств воздерживаться от запрещенных в настоящем разделе </w:t>
      </w:r>
      <w:r>
        <w:rPr>
          <w:rFonts w:ascii="Times New Roman" w:hAnsi="Times New Roman"/>
          <w:sz w:val="24"/>
        </w:rPr>
        <w:t>Договора</w:t>
      </w:r>
      <w:r>
        <w:rPr>
          <w:rFonts w:ascii="Times New Roman" w:hAnsi="Times New Roman"/>
          <w:sz w:val="24"/>
        </w:rPr>
        <w:t xml:space="preserve">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2000000">
      <w:pPr>
        <w:tabs>
          <w:tab w:leader="none" w:pos="700" w:val="left"/>
        </w:tabs>
        <w:ind w:firstLine="709" w:left="0"/>
        <w:jc w:val="both"/>
        <w:rPr>
          <w:b w:val="1"/>
        </w:rPr>
      </w:pPr>
    </w:p>
    <w:p w14:paraId="73000000">
      <w:pPr>
        <w:pStyle w:val="Style_6"/>
        <w:numPr>
          <w:ilvl w:val="0"/>
          <w:numId w:val="5"/>
        </w:numPr>
        <w:spacing w:after="0" w:line="240" w:lineRule="auto"/>
        <w:ind w:firstLine="0" w:left="0"/>
        <w:jc w:val="center"/>
        <w:rPr>
          <w:rFonts w:ascii="Times New Roman" w:hAnsi="Times New Roman"/>
          <w:b w:val="1"/>
          <w:sz w:val="24"/>
        </w:rPr>
      </w:pPr>
      <w:r>
        <w:rPr>
          <w:rFonts w:ascii="Times New Roman" w:hAnsi="Times New Roman"/>
          <w:b w:val="1"/>
          <w:sz w:val="24"/>
        </w:rPr>
        <w:t>ОБСТОЯТЕЛЬСТВА НЕПРЕОДОЛИМОЙ СИЛЫ</w:t>
      </w:r>
    </w:p>
    <w:p w14:paraId="74000000">
      <w:pPr>
        <w:tabs>
          <w:tab w:leader="none" w:pos="1134" w:val="left"/>
          <w:tab w:leader="none" w:pos="4677" w:val="center"/>
          <w:tab w:leader="none" w:pos="9355" w:val="right"/>
        </w:tabs>
        <w:ind w:firstLine="1134" w:left="0"/>
        <w:jc w:val="both"/>
      </w:pPr>
      <w:r>
        <w:t>8.1.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5000000">
      <w:pPr>
        <w:tabs>
          <w:tab w:leader="none" w:pos="1134" w:val="left"/>
          <w:tab w:leader="none" w:pos="4677" w:val="center"/>
          <w:tab w:leader="none" w:pos="9355" w:val="right"/>
        </w:tabs>
        <w:ind w:firstLine="1134" w:left="0"/>
        <w:jc w:val="both"/>
      </w:pPr>
      <w:r>
        <w:t xml:space="preserve">При этом инфляционные процессы в экономике к обстоятельствам непреодолимой силы по условиям </w:t>
      </w:r>
      <w:r>
        <w:t>Договора</w:t>
      </w:r>
      <w:r>
        <w:t xml:space="preserve"> не относятся.</w:t>
      </w:r>
    </w:p>
    <w:p w14:paraId="76000000">
      <w:pPr>
        <w:tabs>
          <w:tab w:leader="none" w:pos="1134" w:val="left"/>
          <w:tab w:leader="none" w:pos="4677" w:val="center"/>
          <w:tab w:leader="none" w:pos="9355" w:val="right"/>
        </w:tabs>
        <w:ind w:firstLine="1134" w:left="0"/>
        <w:jc w:val="both"/>
      </w:pPr>
      <w:r>
        <w:t xml:space="preserve">8.2. В случае действия обстоятельств непреодолимой силы срок исполнения настоящего </w:t>
      </w:r>
      <w:r>
        <w:t>Договора</w:t>
      </w:r>
      <w:r>
        <w:t xml:space="preserve"> сторонами отодвигается соразмерно времени, в течение которого действуют обстоятельства непреодолимой силы и их последствия.</w:t>
      </w:r>
    </w:p>
    <w:p w14:paraId="77000000">
      <w:pPr>
        <w:tabs>
          <w:tab w:leader="none" w:pos="1134" w:val="left"/>
          <w:tab w:leader="none" w:pos="4677" w:val="center"/>
          <w:tab w:leader="none" w:pos="9355" w:val="right"/>
        </w:tabs>
        <w:ind w:firstLine="1134" w:left="0"/>
        <w:jc w:val="both"/>
      </w:pPr>
      <w:r>
        <w:t xml:space="preserve">8.3.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w:t>
      </w:r>
      <w:r>
        <w:t>Договору</w:t>
      </w:r>
      <w:r>
        <w:t>.</w:t>
      </w:r>
    </w:p>
    <w:p w14:paraId="78000000">
      <w:pPr>
        <w:tabs>
          <w:tab w:leader="none" w:pos="1134" w:val="left"/>
          <w:tab w:leader="none" w:pos="4677" w:val="center"/>
          <w:tab w:leader="none" w:pos="9355" w:val="right"/>
        </w:tabs>
        <w:ind w:firstLine="1134" w:left="0"/>
        <w:jc w:val="both"/>
      </w:pPr>
      <w: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9000000">
      <w:pPr>
        <w:tabs>
          <w:tab w:leader="none" w:pos="1134" w:val="left"/>
          <w:tab w:leader="none" w:pos="4677" w:val="center"/>
          <w:tab w:leader="none" w:pos="9355" w:val="right"/>
        </w:tabs>
        <w:ind w:firstLine="1134" w:left="0"/>
        <w:jc w:val="both"/>
      </w:pPr>
      <w:r>
        <w:t xml:space="preserve">8.5.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t>Договора</w:t>
      </w:r>
      <w:r>
        <w:t>.</w:t>
      </w:r>
    </w:p>
    <w:p w14:paraId="7A000000">
      <w:pPr>
        <w:tabs>
          <w:tab w:leader="none" w:pos="4677" w:val="center"/>
          <w:tab w:leader="none" w:pos="9355" w:val="right"/>
        </w:tabs>
        <w:ind w:firstLine="709" w:left="0"/>
        <w:jc w:val="both"/>
      </w:pPr>
    </w:p>
    <w:p w14:paraId="7B000000">
      <w:pPr>
        <w:pStyle w:val="Style_6"/>
        <w:spacing w:after="0" w:line="240" w:lineRule="auto"/>
        <w:ind w:firstLine="0" w:left="0"/>
        <w:jc w:val="center"/>
        <w:rPr>
          <w:rFonts w:ascii="Times New Roman" w:hAnsi="Times New Roman"/>
          <w:b w:val="1"/>
          <w:sz w:val="24"/>
        </w:rPr>
      </w:pPr>
      <w:r>
        <w:rPr>
          <w:rFonts w:ascii="Times New Roman" w:hAnsi="Times New Roman"/>
          <w:b w:val="1"/>
          <w:sz w:val="24"/>
        </w:rPr>
        <w:t>9. ПОРЯДОК РАЗРЕШЕНИЯ СПОРОВ</w:t>
      </w:r>
    </w:p>
    <w:p w14:paraId="7C000000">
      <w:pPr>
        <w:ind w:firstLine="1134" w:left="0"/>
        <w:jc w:val="both"/>
      </w:pPr>
      <w:r>
        <w:t xml:space="preserve">9.1. Стороны принимают все меры к тому, чтобы любые спорные вопросы, разногласия либо претензии, касающиеся исполнения настоящего </w:t>
      </w:r>
      <w:r>
        <w:t>Договора</w:t>
      </w:r>
      <w:r>
        <w:t>, были урегулированы путем переговоров.</w:t>
      </w:r>
    </w:p>
    <w:p w14:paraId="7D000000">
      <w:pPr>
        <w:pStyle w:val="Style_6"/>
        <w:spacing w:after="0" w:line="240" w:lineRule="auto"/>
        <w:ind w:firstLine="1134" w:left="0"/>
        <w:jc w:val="both"/>
        <w:rPr>
          <w:rFonts w:ascii="Times New Roman" w:hAnsi="Times New Roman"/>
          <w:sz w:val="24"/>
        </w:rPr>
      </w:pPr>
      <w:r>
        <w:rPr>
          <w:rFonts w:ascii="Times New Roman" w:hAnsi="Times New Roman"/>
          <w:sz w:val="24"/>
        </w:rPr>
        <w:t xml:space="preserve">9.2. В случае наличия претензий, споров, разногласий относительно исполнения одной из сторон своих обязательств, другая сторона может направить </w:t>
      </w:r>
      <w:r>
        <w:rPr>
          <w:rFonts w:ascii="Times New Roman" w:hAnsi="Times New Roman"/>
          <w:sz w:val="24"/>
        </w:rPr>
        <w:t>претензию.Претензия</w:t>
      </w:r>
      <w:r>
        <w:rPr>
          <w:rFonts w:ascii="Times New Roman" w:hAnsi="Times New Roman"/>
          <w:sz w:val="24"/>
        </w:rPr>
        <w:t>, должна быть рассмотрена по существу стороной, которой адресована претензия, в срок не позднее 10 (десяти) календарных дней с даты ее получения.</w:t>
      </w:r>
    </w:p>
    <w:p w14:paraId="7E000000">
      <w:pPr>
        <w:ind w:firstLine="709" w:left="0"/>
        <w:jc w:val="both"/>
      </w:pPr>
      <w:r>
        <w:t xml:space="preserve">Претензия оформляется в письменной форме. В претензии перечисляются допущенные при исполнении </w:t>
      </w:r>
      <w:r>
        <w:t>Договора</w:t>
      </w:r>
      <w:r>
        <w:t xml:space="preserve"> нарушения со ссылкой на соответствующие положения </w:t>
      </w:r>
      <w:r>
        <w:t>Договора</w:t>
      </w:r>
      <w: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000000">
      <w:pPr>
        <w:ind w:firstLine="1134" w:left="0"/>
        <w:jc w:val="both"/>
      </w:pPr>
      <w:r>
        <w:t xml:space="preserve">9.3. Любые споры, не урегулированные во внесудебном порядке, разрешаются Арбитражным судом Санкт-Петербурга и </w:t>
      </w:r>
      <w:r>
        <w:t>Ленинградскойобласти</w:t>
      </w:r>
      <w:r>
        <w:t>.</w:t>
      </w:r>
    </w:p>
    <w:p w14:paraId="80000000">
      <w:pPr>
        <w:ind w:firstLine="709" w:left="0"/>
        <w:jc w:val="both"/>
      </w:pPr>
    </w:p>
    <w:p w14:paraId="81000000">
      <w:pPr>
        <w:pStyle w:val="Style_6"/>
        <w:spacing w:after="0" w:line="240" w:lineRule="auto"/>
        <w:ind w:firstLine="0" w:left="0"/>
        <w:jc w:val="center"/>
        <w:rPr>
          <w:rFonts w:ascii="Times New Roman" w:hAnsi="Times New Roman"/>
          <w:b w:val="1"/>
          <w:sz w:val="24"/>
        </w:rPr>
      </w:pPr>
      <w:r>
        <w:rPr>
          <w:rFonts w:ascii="Times New Roman" w:hAnsi="Times New Roman"/>
          <w:b w:val="1"/>
          <w:sz w:val="24"/>
        </w:rPr>
        <w:t>10. ОСОБЫЕ УСЛОВИЯ</w:t>
      </w:r>
    </w:p>
    <w:p w14:paraId="82000000">
      <w:pPr>
        <w:ind w:firstLine="1134" w:left="0"/>
        <w:jc w:val="both"/>
      </w:pPr>
      <w:r>
        <w:t xml:space="preserve">10.1. Срок действия </w:t>
      </w:r>
      <w:r>
        <w:t>Договора</w:t>
      </w:r>
      <w:r>
        <w:t>: с момента заключения по 31.12.202</w:t>
      </w:r>
      <w:r>
        <w:t>4</w:t>
      </w:r>
      <w:r>
        <w:t xml:space="preserve"> г.</w:t>
      </w:r>
    </w:p>
    <w:p w14:paraId="83000000">
      <w:pPr>
        <w:ind w:firstLine="1134" w:left="0"/>
        <w:jc w:val="both"/>
      </w:pPr>
      <w:r>
        <w:t xml:space="preserve">Окончание срока действия </w:t>
      </w:r>
      <w:r>
        <w:t>Договора</w:t>
      </w:r>
      <w:r>
        <w:t xml:space="preserve"> не влечет прекращение обязательств сторон по </w:t>
      </w:r>
      <w:r>
        <w:t>Договору</w:t>
      </w:r>
      <w:r>
        <w:t>.</w:t>
      </w:r>
    </w:p>
    <w:p w14:paraId="84000000">
      <w:pPr>
        <w:ind w:firstLine="1134" w:left="0"/>
        <w:jc w:val="both"/>
        <w:rPr>
          <w:color w:val="000000"/>
        </w:rPr>
      </w:pPr>
      <w:r>
        <w:t xml:space="preserve">10.2. Расторжение </w:t>
      </w:r>
      <w:r>
        <w:t>Договора</w:t>
      </w:r>
      <w:r>
        <w:t xml:space="preserve"> допускается по соглашению сторон, по решению суда, </w:t>
      </w:r>
      <w:r>
        <w:rPr>
          <w:color w:val="000000"/>
        </w:rPr>
        <w:t xml:space="preserve">а также </w:t>
      </w:r>
      <w:r>
        <w:t xml:space="preserve">в случае одностороннего отказа стороны </w:t>
      </w:r>
      <w:r>
        <w:t>Договора</w:t>
      </w:r>
      <w:r>
        <w:t xml:space="preserve"> от исполнения </w:t>
      </w:r>
      <w:r>
        <w:t>Договора</w:t>
      </w:r>
      <w:r>
        <w:t xml:space="preserve"> </w:t>
      </w:r>
      <w:r>
        <w:rPr>
          <w:color w:val="000000"/>
        </w:rPr>
        <w:t>по основаниям, предусмотренным Г</w:t>
      </w:r>
      <w:r>
        <w:t xml:space="preserve">ражданским </w:t>
      </w:r>
      <w:r>
        <w:rPr>
          <w:color w:val="000000"/>
        </w:rPr>
        <w:t>кодексом РФ для одностороннего отказа от исполнения обязательств,</w:t>
      </w:r>
      <w:r>
        <w:t xml:space="preserve"> в том числе в случаях</w:t>
      </w:r>
      <w:r>
        <w:rPr>
          <w:color w:val="000000"/>
        </w:rPr>
        <w:t xml:space="preserve"> (но не ограничиваясь указанными)</w:t>
      </w:r>
      <w:r>
        <w:t>:</w:t>
      </w:r>
    </w:p>
    <w:p w14:paraId="85000000">
      <w:pPr>
        <w:ind w:firstLine="709" w:left="0"/>
        <w:jc w:val="both"/>
        <w:rPr>
          <w:color w:val="000000"/>
        </w:rPr>
      </w:pPr>
      <w:r>
        <w:rPr>
          <w:color w:val="000000"/>
        </w:rPr>
        <w:t>-</w:t>
      </w:r>
      <w:r>
        <w:rPr>
          <w:color w:val="000000"/>
        </w:rPr>
        <w:t xml:space="preserve">если отступления исполнителя от условий </w:t>
      </w:r>
      <w:r>
        <w:rPr>
          <w:color w:val="000000"/>
        </w:rPr>
        <w:t>Договора</w:t>
      </w:r>
      <w:r>
        <w:rPr>
          <w:color w:val="000000"/>
        </w:rPr>
        <w:t xml:space="preserve"> или иные недостатки оказанных услуг не были устранены исполнителем в установленный заказчиком срок, либо являются существенными и неустранимыми.</w:t>
      </w:r>
    </w:p>
    <w:p w14:paraId="86000000">
      <w:pPr>
        <w:ind w:firstLine="1134" w:left="0"/>
        <w:jc w:val="both"/>
      </w:pPr>
      <w:r>
        <w:t xml:space="preserve">10.3. При исполнении </w:t>
      </w:r>
      <w:r>
        <w:t>Договора</w:t>
      </w:r>
      <w:r>
        <w:t xml:space="preserve"> не допускается перемена исполнителя, за исключением случая, если новый исполнитель является правопреемником исполнителя по такому </w:t>
      </w:r>
      <w:r>
        <w:t>Договору</w:t>
      </w:r>
      <w:r>
        <w:t xml:space="preserve"> вследствие реорганизации юридического лица в форме преобразования, слияния или присоединения.</w:t>
      </w:r>
    </w:p>
    <w:p w14:paraId="87000000">
      <w:pPr>
        <w:ind w:firstLine="1134" w:left="0"/>
        <w:jc w:val="both"/>
      </w:pPr>
      <w:r>
        <w:t>10.4. В случае перемены заказчика права и обязанности заказчика, предусмотренные контрактом, переходят к новому заказчику.</w:t>
      </w:r>
    </w:p>
    <w:p w14:paraId="88000000">
      <w:pPr>
        <w:ind w:firstLine="1134" w:left="0"/>
        <w:jc w:val="both"/>
      </w:pPr>
      <w:r>
        <w:t xml:space="preserve">10.5. Любое уведомление, которое одна сторона направляет другой стороне в соответствии с контрактом,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контракте. </w:t>
      </w:r>
    </w:p>
    <w:p w14:paraId="89000000">
      <w:pPr>
        <w:ind w:firstLine="1134" w:left="0"/>
        <w:jc w:val="both"/>
      </w:pPr>
      <w: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14:paraId="8A000000">
      <w:pPr>
        <w:ind w:firstLine="1134" w:left="0"/>
        <w:jc w:val="both"/>
      </w:pPr>
      <w:r>
        <w:t xml:space="preserve">10.6. Любые изменения и дополнения к настоящему </w:t>
      </w:r>
      <w:r>
        <w:t>Договору</w:t>
      </w:r>
      <w:r>
        <w:t xml:space="preserve">,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w:t>
      </w:r>
      <w:r>
        <w:t>Договора</w:t>
      </w:r>
      <w:r>
        <w:t>.</w:t>
      </w:r>
    </w:p>
    <w:p w14:paraId="8B000000">
      <w:pPr>
        <w:ind w:firstLine="1134" w:left="0"/>
        <w:jc w:val="both"/>
      </w:pPr>
      <w:r>
        <w:t>10.7. Во всем, что не предусмотрено настоящим контрактом, стороны руководствуются действующим законодательством Российской Федерации.</w:t>
      </w:r>
    </w:p>
    <w:p w14:paraId="8C000000">
      <w:pPr>
        <w:ind w:firstLine="1134" w:left="0"/>
        <w:jc w:val="both"/>
      </w:pPr>
      <w:r>
        <w:t xml:space="preserve">10.8. Настоящий </w:t>
      </w:r>
      <w:r>
        <w:t>Договор</w:t>
      </w:r>
      <w:r>
        <w:t xml:space="preserve"> </w:t>
      </w:r>
      <w:r>
        <w:t>составлен в двух экземплярах, имеющих одинаковую юридическую силу, по одному экземпляру для каждой из Сторон.</w:t>
      </w:r>
    </w:p>
    <w:p w14:paraId="8D000000">
      <w:pPr>
        <w:ind w:firstLine="1134" w:left="0"/>
        <w:jc w:val="both"/>
      </w:pPr>
      <w:r>
        <w:t xml:space="preserve">10.9. Все приложения к настоящему </w:t>
      </w:r>
      <w:r>
        <w:t>Договору</w:t>
      </w:r>
      <w:r>
        <w:t xml:space="preserve"> являются его неотъемлемой частью.</w:t>
      </w:r>
    </w:p>
    <w:p w14:paraId="8E000000">
      <w:pPr>
        <w:pStyle w:val="Style_5"/>
        <w:ind w:firstLine="1134" w:left="0"/>
        <w:jc w:val="both"/>
      </w:pPr>
      <w:r>
        <w:t xml:space="preserve">- Приложение </w:t>
      </w:r>
      <w:r>
        <w:t>№ 1</w:t>
      </w:r>
      <w:r>
        <w:t>- «</w:t>
      </w:r>
      <w:r>
        <w:t xml:space="preserve">Техническое задание и расчет стоимости на </w:t>
      </w:r>
      <w:r>
        <w:t xml:space="preserve">оказание услуг </w:t>
      </w:r>
      <w:bookmarkEnd w:id="2"/>
      <w:r>
        <w:t>по оформлению воздушными шарами центрального входа СПб ГБУ «ДК «Суздальский» для проведения праздничного мероприятия, посвященного Дню открытых дверей.</w:t>
      </w:r>
    </w:p>
    <w:p w14:paraId="8F000000">
      <w:pPr>
        <w:pStyle w:val="Style_5"/>
        <w:ind/>
        <w:jc w:val="both"/>
      </w:pPr>
    </w:p>
    <w:p w14:paraId="90000000">
      <w:pPr>
        <w:pStyle w:val="Style_4"/>
        <w:widowControl w:val="0"/>
        <w:ind/>
        <w:jc w:val="center"/>
        <w:rPr>
          <w:b w:val="1"/>
        </w:rPr>
      </w:pPr>
      <w:r>
        <w:rPr>
          <w:b w:val="1"/>
        </w:rPr>
        <w:t xml:space="preserve">12. АДРЕС (МЕСТО НАХОЖДЕНИЯ) </w:t>
      </w:r>
    </w:p>
    <w:p w14:paraId="91000000">
      <w:pPr>
        <w:pStyle w:val="Style_4"/>
        <w:widowControl w:val="0"/>
        <w:ind/>
        <w:jc w:val="center"/>
        <w:rPr>
          <w:b w:val="1"/>
        </w:rPr>
      </w:pPr>
      <w:r>
        <w:rPr>
          <w:b w:val="1"/>
        </w:rPr>
        <w:t>И БАНКОВСКИЕ РЕКВИЗИТЫ СТОРОН:</w:t>
      </w:r>
    </w:p>
    <w:p w14:paraId="92000000">
      <w:pPr>
        <w:pStyle w:val="Style_4"/>
        <w:widowControl w:val="0"/>
        <w:ind w:firstLine="0" w:left="0"/>
        <w:rPr>
          <w:b w:val="1"/>
          <w:sz w:val="22"/>
        </w:rPr>
      </w:pPr>
    </w:p>
    <w:tbl>
      <w:tblPr>
        <w:tblStyle w:val="Style_7"/>
        <w:tblW w:type="auto" w:w="0"/>
        <w:tblLayout w:type="fixed"/>
      </w:tblPr>
      <w:tblGrid>
        <w:gridCol w:w="4786"/>
        <w:gridCol w:w="4820"/>
      </w:tblGrid>
      <w:tr>
        <w:trPr>
          <w:trHeight w:hRule="atLeast" w:val="4252"/>
        </w:trPr>
        <w:tc>
          <w:tcPr>
            <w:tcW w:type="dxa" w:w="4786"/>
          </w:tcPr>
          <w:p w14:paraId="93000000">
            <w:pPr>
              <w:pStyle w:val="Style_8"/>
              <w:spacing w:after="0" w:before="0"/>
              <w:ind/>
              <w:rPr>
                <w:rFonts w:ascii="Times New Roman" w:hAnsi="Times New Roman"/>
                <w:sz w:val="22"/>
              </w:rPr>
            </w:pPr>
            <w:r>
              <w:rPr>
                <w:rFonts w:ascii="Times New Roman" w:hAnsi="Times New Roman"/>
                <w:sz w:val="22"/>
              </w:rPr>
              <w:t xml:space="preserve">              ЗАКАЗЧИК                                                                          </w:t>
            </w:r>
          </w:p>
          <w:p w14:paraId="94000000">
            <w:pPr>
              <w:ind/>
              <w:jc w:val="both"/>
              <w:rPr>
                <w:b w:val="1"/>
              </w:rPr>
            </w:pPr>
            <w:r>
              <w:rPr>
                <w:b w:val="1"/>
              </w:rPr>
              <w:t>ООО</w:t>
            </w:r>
            <w:r>
              <w:rPr>
                <w:b w:val="1"/>
              </w:rPr>
              <w:t xml:space="preserve"> </w:t>
            </w:r>
            <w:r>
              <w:rPr>
                <w:b w:val="1"/>
              </w:rPr>
              <w:t>СПБ ГБУ «Дом культуры «Суздальский»</w:t>
            </w:r>
          </w:p>
          <w:p w14:paraId="95000000">
            <w:pPr>
              <w:ind/>
              <w:jc w:val="both"/>
            </w:pPr>
            <w:r>
              <w:t xml:space="preserve">Юридический адрес: </w:t>
            </w:r>
          </w:p>
          <w:p w14:paraId="96000000">
            <w:pPr>
              <w:ind/>
              <w:jc w:val="both"/>
            </w:pPr>
            <w:r>
              <w:t xml:space="preserve">194355, Санкт-Петербург, </w:t>
            </w:r>
          </w:p>
          <w:p w14:paraId="97000000">
            <w:pPr>
              <w:ind/>
              <w:jc w:val="both"/>
            </w:pPr>
            <w:r>
              <w:t>Суздальский пр., д.3, корп. 1</w:t>
            </w:r>
          </w:p>
          <w:p w14:paraId="98000000">
            <w:pPr>
              <w:ind/>
              <w:jc w:val="both"/>
            </w:pPr>
            <w:r>
              <w:t xml:space="preserve">ИНН 7802092746 / КПП 780201001 </w:t>
            </w:r>
          </w:p>
          <w:p w14:paraId="99000000">
            <w:pPr>
              <w:ind/>
              <w:jc w:val="both"/>
            </w:pPr>
            <w:r>
              <w:t>Тел:+</w:t>
            </w:r>
            <w:r>
              <w:t>7(812)515-38-12, 515-66-89</w:t>
            </w:r>
          </w:p>
          <w:p w14:paraId="9A000000">
            <w:pPr>
              <w:ind/>
              <w:jc w:val="both"/>
            </w:pPr>
            <w:r>
              <w:t>Факс: +7(812)514-10-02</w:t>
            </w:r>
          </w:p>
          <w:p w14:paraId="9B000000">
            <w:pPr>
              <w:ind/>
              <w:jc w:val="both"/>
            </w:pPr>
            <w:r>
              <w:t>р/с 40102810945370000005</w:t>
            </w:r>
          </w:p>
          <w:p w14:paraId="9C000000">
            <w:pPr>
              <w:ind/>
              <w:jc w:val="both"/>
            </w:pPr>
            <w:r>
              <w:t xml:space="preserve">Северо-Западное ГУ Банка России// УФК </w:t>
            </w:r>
          </w:p>
          <w:p w14:paraId="9D000000">
            <w:pPr>
              <w:ind/>
              <w:jc w:val="both"/>
            </w:pPr>
            <w:r>
              <w:t>по г. Санкт-Петербургу, г. Санкт-Петербург</w:t>
            </w:r>
          </w:p>
          <w:p w14:paraId="9E000000">
            <w:pPr>
              <w:ind/>
              <w:jc w:val="both"/>
            </w:pPr>
            <w:r>
              <w:t>Наименование получателя:</w:t>
            </w:r>
          </w:p>
          <w:p w14:paraId="9F000000">
            <w:pPr>
              <w:ind/>
              <w:jc w:val="both"/>
            </w:pPr>
            <w:r>
              <w:t>Комитет финансов Санкт-Петербурга, номер казначейского счета 03224643400000007200</w:t>
            </w:r>
          </w:p>
          <w:p w14:paraId="A0000000">
            <w:pPr>
              <w:ind/>
              <w:jc w:val="both"/>
            </w:pPr>
            <w:r>
              <w:t xml:space="preserve"> (СПб ГБУ «Дом культуры «Суздальский» лицевой счет 0501006)</w:t>
            </w:r>
          </w:p>
          <w:p w14:paraId="A1000000">
            <w:pPr>
              <w:ind/>
              <w:jc w:val="both"/>
            </w:pPr>
            <w:r>
              <w:t xml:space="preserve">БИК </w:t>
            </w:r>
            <w:r>
              <w:t>014030106</w:t>
            </w:r>
          </w:p>
          <w:p w14:paraId="A2000000">
            <w:pPr>
              <w:ind/>
              <w:jc w:val="both"/>
            </w:pPr>
          </w:p>
          <w:p w14:paraId="A3000000">
            <w:pPr>
              <w:ind/>
              <w:jc w:val="both"/>
            </w:pPr>
            <w:r>
              <w:t xml:space="preserve">Директор </w:t>
            </w:r>
          </w:p>
          <w:p w14:paraId="A4000000">
            <w:pPr>
              <w:ind/>
              <w:jc w:val="both"/>
            </w:pPr>
          </w:p>
          <w:p w14:paraId="A5000000">
            <w:r>
              <w:t>_____________________ Т.Н. Лаптева</w:t>
            </w:r>
          </w:p>
          <w:p w14:paraId="A6000000">
            <w:pPr>
              <w:rPr>
                <w:sz w:val="22"/>
              </w:rPr>
            </w:pPr>
          </w:p>
        </w:tc>
        <w:tc>
          <w:tcPr>
            <w:tcW w:type="dxa" w:w="4820"/>
          </w:tcPr>
          <w:p w14:paraId="A7000000">
            <w:pPr>
              <w:pStyle w:val="Style_8"/>
              <w:spacing w:after="0" w:before="0"/>
              <w:ind/>
              <w:rPr>
                <w:rFonts w:ascii="Times New Roman" w:hAnsi="Times New Roman"/>
                <w:sz w:val="22"/>
              </w:rPr>
            </w:pPr>
            <w:r>
              <w:rPr>
                <w:rFonts w:ascii="Times New Roman" w:hAnsi="Times New Roman"/>
                <w:sz w:val="22"/>
              </w:rPr>
              <w:t>ИСПОЛНИТЕЛЬ</w:t>
            </w:r>
          </w:p>
          <w:p w14:paraId="A8000000">
            <w:pPr>
              <w:rPr>
                <w:b w:val="1"/>
                <w:sz w:val="22"/>
              </w:rPr>
            </w:pPr>
          </w:p>
          <w:p w14:paraId="A9000000">
            <w:pPr>
              <w:rPr>
                <w:b w:val="1"/>
                <w:sz w:val="22"/>
              </w:rPr>
            </w:pPr>
          </w:p>
        </w:tc>
      </w:tr>
    </w:tbl>
    <w:p w14:paraId="AA000000">
      <w:pPr>
        <w:widowControl w:val="0"/>
        <w:ind/>
        <w:jc w:val="right"/>
        <w:rPr>
          <w:sz w:val="22"/>
        </w:rPr>
      </w:pPr>
    </w:p>
    <w:p w14:paraId="AB000000">
      <w:pPr>
        <w:widowControl w:val="0"/>
        <w:ind/>
        <w:jc w:val="right"/>
        <w:rPr>
          <w:sz w:val="22"/>
        </w:rPr>
      </w:pPr>
    </w:p>
    <w:p w14:paraId="AC000000">
      <w:pPr>
        <w:widowControl w:val="0"/>
        <w:ind/>
        <w:jc w:val="right"/>
        <w:rPr>
          <w:sz w:val="22"/>
        </w:rPr>
      </w:pPr>
    </w:p>
    <w:p w14:paraId="AD000000">
      <w:pPr>
        <w:widowControl w:val="0"/>
        <w:ind/>
        <w:jc w:val="right"/>
        <w:rPr>
          <w:sz w:val="22"/>
        </w:rPr>
      </w:pPr>
    </w:p>
    <w:p w14:paraId="AE000000">
      <w:pPr>
        <w:widowControl w:val="0"/>
        <w:ind/>
        <w:jc w:val="right"/>
        <w:rPr>
          <w:sz w:val="22"/>
        </w:rPr>
      </w:pPr>
    </w:p>
    <w:p w14:paraId="AF000000">
      <w:pPr>
        <w:widowControl w:val="0"/>
        <w:ind/>
        <w:jc w:val="right"/>
        <w:rPr>
          <w:sz w:val="22"/>
        </w:rPr>
      </w:pPr>
    </w:p>
    <w:p w14:paraId="B0000000">
      <w:pPr>
        <w:widowControl w:val="0"/>
        <w:ind/>
        <w:jc w:val="right"/>
        <w:rPr>
          <w:sz w:val="22"/>
        </w:rPr>
      </w:pPr>
      <w:r>
        <w:rPr>
          <w:sz w:val="22"/>
        </w:rPr>
        <w:t>П</w:t>
      </w:r>
      <w:r>
        <w:rPr>
          <w:sz w:val="22"/>
        </w:rPr>
        <w:t>риложение</w:t>
      </w:r>
      <w:r>
        <w:rPr>
          <w:sz w:val="22"/>
        </w:rPr>
        <w:t xml:space="preserve"> № 1</w:t>
      </w:r>
      <w:r>
        <w:rPr>
          <w:sz w:val="22"/>
        </w:rPr>
        <w:t xml:space="preserve"> к </w:t>
      </w:r>
      <w:r>
        <w:rPr>
          <w:sz w:val="22"/>
        </w:rPr>
        <w:t>Договору</w:t>
      </w:r>
      <w:r>
        <w:rPr>
          <w:sz w:val="22"/>
        </w:rPr>
        <w:t xml:space="preserve"> </w:t>
      </w:r>
    </w:p>
    <w:p w14:paraId="B1000000">
      <w:pPr>
        <w:widowControl w:val="0"/>
        <w:ind/>
        <w:jc w:val="right"/>
        <w:rPr>
          <w:sz w:val="22"/>
        </w:rPr>
      </w:pPr>
      <w:r>
        <w:rPr>
          <w:sz w:val="22"/>
        </w:rPr>
        <w:t>№</w:t>
      </w:r>
      <w:r>
        <w:rPr>
          <w:sz w:val="22"/>
        </w:rPr>
        <w:t>___</w:t>
      </w:r>
      <w:r>
        <w:rPr>
          <w:sz w:val="22"/>
        </w:rPr>
        <w:t xml:space="preserve">от </w:t>
      </w:r>
      <w:r>
        <w:rPr>
          <w:sz w:val="22"/>
        </w:rPr>
        <w:t>_____2</w:t>
      </w:r>
      <w:r>
        <w:rPr>
          <w:sz w:val="22"/>
        </w:rPr>
        <w:t>0</w:t>
      </w:r>
      <w:r>
        <w:rPr>
          <w:sz w:val="22"/>
        </w:rPr>
        <w:t>2</w:t>
      </w:r>
      <w:r>
        <w:rPr>
          <w:sz w:val="22"/>
        </w:rPr>
        <w:t>4</w:t>
      </w:r>
      <w:r>
        <w:rPr>
          <w:sz w:val="22"/>
        </w:rPr>
        <w:t xml:space="preserve"> года</w:t>
      </w:r>
    </w:p>
    <w:p w14:paraId="B2000000">
      <w:pPr>
        <w:ind/>
        <w:jc w:val="right"/>
        <w:rPr>
          <w:sz w:val="22"/>
        </w:rPr>
      </w:pPr>
    </w:p>
    <w:p w14:paraId="B3000000">
      <w:pPr>
        <w:ind/>
        <w:jc w:val="right"/>
        <w:rPr>
          <w:color w:val="000000"/>
        </w:rPr>
      </w:pPr>
    </w:p>
    <w:p w14:paraId="B4000000">
      <w:pPr>
        <w:pStyle w:val="Style_5"/>
        <w:ind/>
        <w:jc w:val="center"/>
        <w:rPr>
          <w:b w:val="1"/>
        </w:rPr>
      </w:pPr>
      <w:r>
        <w:rPr>
          <w:b w:val="1"/>
        </w:rPr>
        <w:t>Техническое задание и расчет стоимости на оказание</w:t>
      </w:r>
      <w:r>
        <w:rPr>
          <w:rStyle w:val="Style_5_ch"/>
          <w:b w:val="1"/>
        </w:rPr>
        <w:t xml:space="preserve"> услуг </w:t>
      </w:r>
      <w:r>
        <w:rPr>
          <w:rStyle w:val="Style_5_ch"/>
          <w:b w:val="1"/>
        </w:rPr>
        <w:t xml:space="preserve"> по оформлению центрального входа и фойе  СПБ ГБУ "Дом культуры "Суздальский" воздушными шарами в рамках проведения Дня открытых дверей.</w:t>
      </w:r>
    </w:p>
    <w:p w14:paraId="B5000000">
      <w:pPr>
        <w:pStyle w:val="Style_5"/>
        <w:ind/>
        <w:jc w:val="center"/>
        <w:rPr>
          <w:b w:val="1"/>
        </w:rPr>
      </w:pPr>
    </w:p>
    <w:p w14:paraId="B6000000">
      <w:pPr>
        <w:ind/>
        <w:jc w:val="center"/>
        <w:rPr>
          <w:b w:val="1"/>
        </w:rPr>
      </w:pPr>
    </w:p>
    <w:p w14:paraId="B7000000">
      <w:pPr>
        <w:ind w:firstLine="709" w:left="0"/>
        <w:jc w:val="both"/>
      </w:pPr>
      <w:bookmarkStart w:id="6" w:name="_Hlk19527410"/>
      <w:r>
        <w:t xml:space="preserve">Дата </w:t>
      </w:r>
      <w:r>
        <w:t xml:space="preserve">проведения: </w:t>
      </w:r>
      <w:r>
        <w:t xml:space="preserve"> </w:t>
      </w:r>
      <w:r>
        <w:t>01</w:t>
      </w:r>
      <w:r>
        <w:t xml:space="preserve"> </w:t>
      </w:r>
      <w:r>
        <w:t>сентября</w:t>
      </w:r>
      <w:r>
        <w:t xml:space="preserve"> 202</w:t>
      </w:r>
      <w:r>
        <w:t>4</w:t>
      </w:r>
      <w:r>
        <w:t xml:space="preserve"> г.</w:t>
      </w:r>
    </w:p>
    <w:p w14:paraId="B8000000">
      <w:pPr>
        <w:ind w:firstLine="709" w:left="0"/>
        <w:jc w:val="both"/>
      </w:pPr>
      <w:r>
        <w:t>Время готовности: 10.00</w:t>
      </w:r>
    </w:p>
    <w:p w14:paraId="B9000000">
      <w:pPr>
        <w:ind w:firstLine="709" w:left="0"/>
        <w:outlineLvl w:val="0"/>
      </w:pPr>
      <w:r>
        <w:t xml:space="preserve"> </w:t>
      </w:r>
      <w:r>
        <w:t xml:space="preserve">Место проведения: </w:t>
      </w:r>
      <w:r>
        <w:t xml:space="preserve">СПб, Суздальский проспект, дом 3, корпус 1, </w:t>
      </w:r>
      <w:r>
        <w:t>главный вход  и фойе СПб ГБУ «</w:t>
      </w:r>
      <w:r>
        <w:t>Дом культуры «Суздальский»</w:t>
      </w:r>
      <w:r>
        <w:t>.</w:t>
      </w:r>
    </w:p>
    <w:p w14:paraId="BA000000">
      <w:pPr>
        <w:ind w:firstLine="709" w:left="0"/>
        <w:jc w:val="both"/>
        <w:rPr>
          <w:sz w:val="22"/>
        </w:rPr>
      </w:pPr>
    </w:p>
    <w:p w14:paraId="BB000000">
      <w:pPr>
        <w:tabs>
          <w:tab w:leader="none" w:pos="720" w:val="left"/>
        </w:tabs>
        <w:ind w:firstLine="709" w:left="0"/>
        <w:jc w:val="both"/>
        <w:rPr>
          <w:sz w:val="22"/>
        </w:rPr>
      </w:pPr>
    </w:p>
    <w:tbl>
      <w:tblPr>
        <w:tblStyle w:val="Style_9"/>
        <w:tblW w:type="auto" w:w="0"/>
        <w:tblLayout w:type="fixed"/>
      </w:tblPr>
      <w:tblGrid>
        <w:gridCol w:w="849"/>
        <w:gridCol w:w="4929"/>
        <w:gridCol w:w="2297"/>
        <w:gridCol w:w="1814"/>
      </w:tblGrid>
      <w:tr>
        <w:trPr>
          <w:trHeight w:hRule="atLeast" w:val="942"/>
        </w:trPr>
        <w:tc>
          <w:tcPr>
            <w:tcW w:type="dxa" w:w="849"/>
          </w:tcPr>
          <w:p w14:paraId="BC000000">
            <w:pPr>
              <w:pStyle w:val="Style_10"/>
              <w:ind/>
              <w:jc w:val="center"/>
              <w:rPr>
                <w:rFonts w:ascii="Times New Roman" w:hAnsi="Times New Roman"/>
                <w:b w:val="1"/>
                <w:sz w:val="24"/>
              </w:rPr>
            </w:pPr>
            <w:r>
              <w:rPr>
                <w:rFonts w:ascii="Times New Roman" w:hAnsi="Times New Roman"/>
                <w:b w:val="1"/>
                <w:sz w:val="24"/>
              </w:rPr>
              <w:t>№ п/п</w:t>
            </w:r>
          </w:p>
        </w:tc>
        <w:tc>
          <w:tcPr>
            <w:tcW w:type="dxa" w:w="4929"/>
          </w:tcPr>
          <w:p w14:paraId="BD000000">
            <w:pPr>
              <w:pStyle w:val="Style_10"/>
              <w:ind/>
              <w:jc w:val="center"/>
              <w:rPr>
                <w:rFonts w:ascii="Times New Roman" w:hAnsi="Times New Roman"/>
                <w:b w:val="1"/>
                <w:sz w:val="24"/>
              </w:rPr>
            </w:pPr>
            <w:r>
              <w:rPr>
                <w:rFonts w:ascii="Times New Roman" w:hAnsi="Times New Roman"/>
                <w:b w:val="1"/>
                <w:sz w:val="24"/>
              </w:rPr>
              <w:t xml:space="preserve">Характеристика </w:t>
            </w:r>
            <w:r>
              <w:rPr>
                <w:rFonts w:ascii="Times New Roman" w:hAnsi="Times New Roman"/>
                <w:b w:val="1"/>
                <w:sz w:val="24"/>
              </w:rPr>
              <w:t>услуг</w:t>
            </w:r>
          </w:p>
        </w:tc>
        <w:tc>
          <w:tcPr>
            <w:tcW w:type="dxa" w:w="2297"/>
            <w:vAlign w:val="center"/>
          </w:tcPr>
          <w:p w14:paraId="BE000000">
            <w:pPr>
              <w:keepNext w:val="1"/>
              <w:tabs>
                <w:tab w:leader="none" w:pos="341" w:val="left"/>
              </w:tabs>
              <w:ind/>
              <w:jc w:val="center"/>
              <w:rPr>
                <w:b w:val="1"/>
              </w:rPr>
            </w:pPr>
            <w:r>
              <w:rPr>
                <w:b w:val="1"/>
              </w:rPr>
              <w:t>Цена за ед. в руб., НДС не облагается.</w:t>
            </w:r>
          </w:p>
        </w:tc>
        <w:tc>
          <w:tcPr>
            <w:tcW w:type="dxa" w:w="1814"/>
            <w:vAlign w:val="center"/>
          </w:tcPr>
          <w:p w14:paraId="BF000000">
            <w:pPr>
              <w:keepNext w:val="1"/>
              <w:tabs>
                <w:tab w:leader="none" w:pos="341" w:val="left"/>
              </w:tabs>
              <w:ind/>
              <w:jc w:val="center"/>
              <w:rPr>
                <w:b w:val="1"/>
              </w:rPr>
            </w:pPr>
            <w:r>
              <w:rPr>
                <w:b w:val="1"/>
              </w:rPr>
              <w:t>Стоимость, руб., НДС не облагается</w:t>
            </w:r>
          </w:p>
        </w:tc>
      </w:tr>
      <w:tr>
        <w:trPr>
          <w:trHeight w:hRule="atLeast" w:val="465"/>
        </w:trPr>
        <w:tc>
          <w:tcPr>
            <w:tcW w:type="dxa" w:w="849"/>
          </w:tcPr>
          <w:p w14:paraId="C0000000">
            <w:pPr>
              <w:pStyle w:val="Style_10"/>
              <w:ind/>
              <w:jc w:val="both"/>
              <w:rPr>
                <w:rFonts w:ascii="Times New Roman" w:hAnsi="Times New Roman"/>
                <w:b w:val="1"/>
                <w:sz w:val="24"/>
              </w:rPr>
            </w:pPr>
            <w:r>
              <w:rPr>
                <w:rFonts w:ascii="Times New Roman" w:hAnsi="Times New Roman"/>
                <w:b w:val="1"/>
                <w:sz w:val="24"/>
              </w:rPr>
              <w:t>1</w:t>
            </w:r>
          </w:p>
        </w:tc>
        <w:tc>
          <w:tcPr>
            <w:tcW w:type="dxa" w:w="4929"/>
          </w:tcPr>
          <w:p w14:paraId="C1000000">
            <w:pPr>
              <w:pStyle w:val="Style_11"/>
              <w:tabs>
                <w:tab w:leader="none" w:pos="346" w:val="left"/>
              </w:tabs>
              <w:ind w:firstLine="34" w:left="0"/>
            </w:pPr>
            <w:r>
              <w:t xml:space="preserve">Центральный вход - разнокалиберная гирлянда из шаров хром и сфер 8 м. </w:t>
            </w:r>
          </w:p>
          <w:p w14:paraId="C2000000">
            <w:pPr>
              <w:pStyle w:val="Style_11"/>
              <w:tabs>
                <w:tab w:leader="none" w:pos="346" w:val="left"/>
              </w:tabs>
              <w:ind w:firstLine="34" w:left="0"/>
            </w:pPr>
            <w:r>
              <w:t>Фойе - фонтан 2 шт в каждом по 9 шаров (Шар хром - 1 шт,Шар с конфетти - 1 шт,Шар металлик - 3 шт,Шар агат - 4 шт).</w:t>
            </w:r>
          </w:p>
          <w:p w14:paraId="C3000000">
            <w:pPr>
              <w:pStyle w:val="Style_11"/>
              <w:tabs>
                <w:tab w:leader="none" w:pos="346" w:val="left"/>
              </w:tabs>
              <w:ind w:firstLine="34" w:left="0"/>
            </w:pPr>
            <w:r>
              <w:t>3. Шар гигант 70 см с хвостом + надпись .</w:t>
            </w:r>
          </w:p>
          <w:p w14:paraId="C4000000">
            <w:pPr>
              <w:tabs>
                <w:tab w:leader="none" w:pos="346" w:val="left"/>
              </w:tabs>
              <w:ind/>
              <w:rPr>
                <w:color w:val="1A1A1A"/>
                <w:highlight w:val="white"/>
              </w:rPr>
            </w:pPr>
            <w:bookmarkStart w:id="7" w:name="_GoBack"/>
            <w:bookmarkEnd w:id="7"/>
          </w:p>
          <w:p w14:paraId="C5000000">
            <w:pPr>
              <w:tabs>
                <w:tab w:leader="none" w:pos="346" w:val="left"/>
              </w:tabs>
              <w:ind w:firstLine="34" w:left="0"/>
            </w:pPr>
            <w:r>
              <w:t>Наполнитель -</w:t>
            </w:r>
            <w:r>
              <w:t xml:space="preserve"> </w:t>
            </w:r>
            <w:r>
              <w:t>гелий</w:t>
            </w:r>
            <w:r>
              <w:t>.</w:t>
            </w:r>
          </w:p>
          <w:p w14:paraId="C6000000">
            <w:pPr>
              <w:tabs>
                <w:tab w:leader="none" w:pos="346" w:val="left"/>
              </w:tabs>
              <w:ind w:firstLine="34" w:left="0"/>
              <w:rPr>
                <w:b w:val="1"/>
                <w:i w:val="1"/>
                <w:u w:val="single"/>
              </w:rPr>
            </w:pPr>
          </w:p>
        </w:tc>
        <w:tc>
          <w:tcPr>
            <w:tcW w:type="dxa" w:w="2297"/>
          </w:tcPr>
          <w:p w14:paraId="C7000000">
            <w:pPr>
              <w:pStyle w:val="Style_10"/>
              <w:ind/>
              <w:jc w:val="both"/>
              <w:rPr>
                <w:rFonts w:ascii="Times New Roman" w:hAnsi="Times New Roman"/>
                <w:b w:val="1"/>
                <w:sz w:val="24"/>
              </w:rPr>
            </w:pPr>
          </w:p>
        </w:tc>
        <w:tc>
          <w:tcPr>
            <w:tcW w:type="dxa" w:w="1814"/>
          </w:tcPr>
          <w:p w14:paraId="C8000000">
            <w:pPr>
              <w:pStyle w:val="Style_10"/>
              <w:ind/>
              <w:jc w:val="both"/>
              <w:rPr>
                <w:rFonts w:ascii="Times New Roman" w:hAnsi="Times New Roman"/>
                <w:b w:val="1"/>
                <w:sz w:val="24"/>
              </w:rPr>
            </w:pPr>
          </w:p>
        </w:tc>
      </w:tr>
    </w:tbl>
    <w:p w14:paraId="C9000000">
      <w:pPr>
        <w:rPr>
          <w:sz w:val="22"/>
        </w:rPr>
      </w:pPr>
    </w:p>
    <w:p w14:paraId="CA000000">
      <w:pPr>
        <w:rPr>
          <w:sz w:val="22"/>
        </w:rPr>
      </w:pPr>
    </w:p>
    <w:p w14:paraId="CB000000">
      <w:pPr>
        <w:ind/>
        <w:jc w:val="both"/>
        <w:rPr>
          <w:sz w:val="22"/>
        </w:rPr>
      </w:pPr>
      <w:r>
        <w:rPr>
          <w:b w:val="1"/>
          <w:sz w:val="22"/>
        </w:rPr>
        <w:t xml:space="preserve">Всего за оказание услуг по </w:t>
      </w:r>
      <w:r>
        <w:rPr>
          <w:b w:val="1"/>
          <w:sz w:val="22"/>
        </w:rPr>
        <w:t>Договору</w:t>
      </w:r>
      <w:r>
        <w:rPr>
          <w:b w:val="1"/>
          <w:sz w:val="22"/>
        </w:rPr>
        <w:t xml:space="preserve">: </w:t>
      </w:r>
      <w:r>
        <w:rPr>
          <w:sz w:val="22"/>
        </w:rPr>
        <w:t>_________</w:t>
      </w:r>
      <w:r>
        <w:rPr>
          <w:sz w:val="22"/>
        </w:rPr>
        <w:t xml:space="preserve"> </w:t>
      </w:r>
      <w:bookmarkEnd w:id="6"/>
    </w:p>
    <w:p w14:paraId="CC000000">
      <w:pPr>
        <w:ind/>
        <w:jc w:val="both"/>
        <w:rPr>
          <w:b w:val="1"/>
          <w:sz w:val="22"/>
        </w:rPr>
      </w:pPr>
    </w:p>
    <w:p w14:paraId="CD000000">
      <w:pPr>
        <w:ind/>
        <w:jc w:val="both"/>
        <w:rPr>
          <w:b w:val="1"/>
          <w:sz w:val="22"/>
        </w:rPr>
      </w:pPr>
    </w:p>
    <w:tbl>
      <w:tblPr>
        <w:tblStyle w:val="Style_7"/>
        <w:tblW w:type="auto" w:w="0"/>
        <w:tblInd w:type="dxa" w:w="-459"/>
        <w:tblLayout w:type="fixed"/>
      </w:tblPr>
      <w:tblGrid>
        <w:gridCol w:w="4922"/>
        <w:gridCol w:w="5598"/>
      </w:tblGrid>
      <w:tr>
        <w:trPr>
          <w:trHeight w:hRule="atLeast" w:val="1845"/>
        </w:trPr>
        <w:tc>
          <w:tcPr>
            <w:tcW w:type="dxa" w:w="4922"/>
          </w:tcPr>
          <w:p w14:paraId="CE000000">
            <w:pPr>
              <w:pStyle w:val="Style_8"/>
              <w:spacing w:after="0" w:before="0"/>
              <w:ind/>
              <w:rPr>
                <w:rFonts w:ascii="Times New Roman" w:hAnsi="Times New Roman"/>
                <w:sz w:val="22"/>
              </w:rPr>
            </w:pPr>
            <w:r>
              <w:rPr>
                <w:rFonts w:ascii="Times New Roman" w:hAnsi="Times New Roman"/>
                <w:sz w:val="22"/>
              </w:rPr>
              <w:t xml:space="preserve">ЗАКАЗЧИК                                                                          </w:t>
            </w:r>
          </w:p>
          <w:p w14:paraId="CF000000">
            <w:pPr>
              <w:ind/>
              <w:jc w:val="both"/>
              <w:rPr>
                <w:b w:val="1"/>
              </w:rPr>
            </w:pPr>
            <w:r>
              <w:rPr>
                <w:b w:val="1"/>
              </w:rPr>
              <w:t>ООО</w:t>
            </w:r>
            <w:r>
              <w:rPr>
                <w:b w:val="1"/>
              </w:rPr>
              <w:t xml:space="preserve"> </w:t>
            </w:r>
            <w:r>
              <w:rPr>
                <w:b w:val="1"/>
              </w:rPr>
              <w:t>СПБ ГБУ «Дом культуры «Суздальский»</w:t>
            </w:r>
          </w:p>
          <w:p w14:paraId="D0000000">
            <w:pPr>
              <w:ind/>
              <w:jc w:val="both"/>
              <w:rPr>
                <w:sz w:val="22"/>
              </w:rPr>
            </w:pPr>
          </w:p>
          <w:p w14:paraId="D1000000">
            <w:pPr>
              <w:ind/>
              <w:jc w:val="both"/>
              <w:rPr>
                <w:sz w:val="22"/>
              </w:rPr>
            </w:pPr>
          </w:p>
          <w:p w14:paraId="D2000000">
            <w:pPr>
              <w:ind/>
              <w:jc w:val="both"/>
              <w:rPr>
                <w:sz w:val="22"/>
              </w:rPr>
            </w:pPr>
            <w:r>
              <w:rPr>
                <w:sz w:val="22"/>
              </w:rPr>
              <w:t>Директор______________Т.Н</w:t>
            </w:r>
            <w:r>
              <w:rPr>
                <w:sz w:val="22"/>
              </w:rPr>
              <w:t xml:space="preserve">. Лаптева  </w:t>
            </w:r>
          </w:p>
          <w:p w14:paraId="D3000000">
            <w:pPr>
              <w:ind/>
              <w:jc w:val="both"/>
              <w:rPr>
                <w:b w:val="1"/>
                <w:i w:val="1"/>
                <w:sz w:val="22"/>
              </w:rPr>
            </w:pPr>
            <w:r>
              <w:rPr>
                <w:b w:val="1"/>
                <w:i w:val="1"/>
                <w:sz w:val="22"/>
              </w:rPr>
              <w:t>Подписано ЭЦП</w:t>
            </w:r>
            <w:r>
              <w:rPr>
                <w:b w:val="1"/>
                <w:i w:val="1"/>
                <w:sz w:val="22"/>
              </w:rPr>
              <w:t xml:space="preserve">       </w:t>
            </w:r>
          </w:p>
        </w:tc>
        <w:tc>
          <w:tcPr>
            <w:tcW w:type="dxa" w:w="5598"/>
          </w:tcPr>
          <w:p w14:paraId="D4000000">
            <w:pPr>
              <w:keepNext w:val="1"/>
              <w:ind/>
              <w:outlineLvl w:val="1"/>
              <w:rPr>
                <w:b w:val="1"/>
                <w:i w:val="1"/>
                <w:sz w:val="22"/>
              </w:rPr>
            </w:pPr>
            <w:r>
              <w:rPr>
                <w:b w:val="1"/>
                <w:i w:val="1"/>
                <w:sz w:val="22"/>
              </w:rPr>
              <w:t>ИСПОЛНИТЕЛЬ</w:t>
            </w:r>
          </w:p>
          <w:p w14:paraId="D5000000">
            <w:pPr>
              <w:rPr>
                <w:b w:val="1"/>
                <w:sz w:val="22"/>
              </w:rPr>
            </w:pPr>
          </w:p>
        </w:tc>
      </w:tr>
    </w:tbl>
    <w:p w14:paraId="D6000000">
      <w:pPr>
        <w:pStyle w:val="Style_8"/>
        <w:spacing w:after="0" w:before="0"/>
        <w:ind/>
        <w:rPr>
          <w:rFonts w:ascii="Times New Roman" w:hAnsi="Times New Roman"/>
          <w:sz w:val="22"/>
        </w:rPr>
      </w:pPr>
    </w:p>
    <w:sectPr>
      <w:headerReference r:id="rId1" w:type="default"/>
      <w:footerReference r:id="rId2" w:type="default"/>
      <w:pgSz w:h="16838" w:orient="portrait" w:w="11906"/>
      <w:pgMar w:bottom="568" w:footer="397" w:gutter="0" w:header="397" w:left="1560" w:right="707" w:top="28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2000000">
    <w:pPr>
      <w:pStyle w:val="Style_2"/>
      <w:ind/>
      <w:jc w:val="center"/>
    </w:pPr>
    <w:r>
      <w:fldChar w:fldCharType="begin"/>
    </w:r>
    <w:r>
      <w:instrText xml:space="preserve">PAGE </w:instrText>
    </w:r>
    <w:r>
      <w:fldChar w:fldCharType="separate"/>
    </w:r>
    <w:r>
      <w:t xml:space="preserve"> </w:t>
    </w:r>
    <w:r>
      <w:fldChar w:fldCharType="end"/>
    </w:r>
  </w:p>
  <w:p w14:paraId="03000000">
    <w:pPr>
      <w:pStyle w:val="Style_2"/>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spacing w:after="120"/>
      <w:ind/>
      <w:jc w:val="center"/>
      <w:rPr>
        <w:sz w:val="16"/>
      </w:rPr>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720"/>
      </w:pPr>
    </w:lvl>
    <w:lvl w:ilvl="1">
      <w:start w:val="1"/>
      <w:numFmt w:val="decimal"/>
      <w:lvlText w:val="%1.%2."/>
      <w:lvlJc w:val="left"/>
      <w:pPr>
        <w:ind w:hanging="360" w:left="1069"/>
      </w:pPr>
    </w:lvl>
    <w:lvl w:ilvl="2">
      <w:start w:val="1"/>
      <w:numFmt w:val="decimal"/>
      <w:lvlText w:val="%1.%2.%3."/>
      <w:lvlJc w:val="left"/>
      <w:pPr>
        <w:ind w:hanging="720" w:left="1778"/>
      </w:pPr>
    </w:lvl>
    <w:lvl w:ilvl="3">
      <w:start w:val="1"/>
      <w:numFmt w:val="decimal"/>
      <w:lvlText w:val="%1.%2.%3.%4."/>
      <w:lvlJc w:val="left"/>
      <w:pPr>
        <w:ind w:hanging="720" w:left="2127"/>
      </w:pPr>
    </w:lvl>
    <w:lvl w:ilvl="4">
      <w:start w:val="1"/>
      <w:numFmt w:val="decimal"/>
      <w:lvlText w:val="%1.%2.%3.%4.%5."/>
      <w:lvlJc w:val="left"/>
      <w:pPr>
        <w:ind w:hanging="1080" w:left="2836"/>
      </w:pPr>
    </w:lvl>
    <w:lvl w:ilvl="5">
      <w:start w:val="1"/>
      <w:numFmt w:val="decimal"/>
      <w:lvlText w:val="%1.%2.%3.%4.%5.%6."/>
      <w:lvlJc w:val="left"/>
      <w:pPr>
        <w:ind w:hanging="1080" w:left="3185"/>
      </w:pPr>
    </w:lvl>
    <w:lvl w:ilvl="6">
      <w:start w:val="1"/>
      <w:numFmt w:val="decimal"/>
      <w:lvlText w:val="%1.%2.%3.%4.%5.%6.%7."/>
      <w:lvlJc w:val="left"/>
      <w:pPr>
        <w:ind w:hanging="1440" w:left="3894"/>
      </w:pPr>
    </w:lvl>
    <w:lvl w:ilvl="7">
      <w:start w:val="1"/>
      <w:numFmt w:val="decimal"/>
      <w:lvlText w:val="%1.%2.%3.%4.%5.%6.%7.%8."/>
      <w:lvlJc w:val="left"/>
      <w:pPr>
        <w:ind w:hanging="1440" w:left="4243"/>
      </w:pPr>
    </w:lvl>
    <w:lvl w:ilvl="8">
      <w:start w:val="1"/>
      <w:numFmt w:val="decimal"/>
      <w:lvlText w:val="%1.%2.%3.%4.%5.%6.%7.%8.%9."/>
      <w:lvlJc w:val="left"/>
      <w:pPr>
        <w:ind w:hanging="1800" w:left="4952"/>
      </w:pPr>
    </w:lvl>
  </w:abstractNum>
  <w:abstractNum w:abstractNumId="1">
    <w:lvl w:ilvl="0">
      <w:start w:val="1"/>
      <w:numFmt w:val="decimal"/>
      <w:lvlText w:val="%1."/>
      <w:lvlJc w:val="left"/>
      <w:pPr>
        <w:ind w:hanging="360" w:left="1069"/>
      </w:pPr>
    </w:lvl>
    <w:lvl w:ilvl="1">
      <w:start w:val="1"/>
      <w:numFmt w:val="decimal"/>
      <w:lvlText w:val="%1.%2."/>
      <w:lvlJc w:val="left"/>
      <w:pPr>
        <w:ind w:hanging="420" w:left="1129"/>
      </w:pPr>
    </w:lvl>
    <w:lvl w:ilvl="2">
      <w:start w:val="1"/>
      <w:numFmt w:val="decimal"/>
      <w:lvlText w:val="%1.%2.%3."/>
      <w:lvlJc w:val="left"/>
      <w:pPr>
        <w:ind w:hanging="720" w:left="1429"/>
      </w:pPr>
    </w:lvl>
    <w:lvl w:ilvl="3">
      <w:start w:val="1"/>
      <w:numFmt w:val="decimal"/>
      <w:lvlText w:val="%1.%2.%3.%4."/>
      <w:lvlJc w:val="left"/>
      <w:pPr>
        <w:ind w:hanging="720" w:left="1429"/>
      </w:pPr>
    </w:lvl>
    <w:lvl w:ilvl="4">
      <w:start w:val="1"/>
      <w:numFmt w:val="decimal"/>
      <w:lvlText w:val="%1.%2.%3.%4.%5."/>
      <w:lvlJc w:val="left"/>
      <w:pPr>
        <w:ind w:hanging="1080" w:left="1789"/>
      </w:pPr>
    </w:lvl>
    <w:lvl w:ilvl="5">
      <w:start w:val="1"/>
      <w:numFmt w:val="decimal"/>
      <w:lvlText w:val="%1.%2.%3.%4.%5.%6."/>
      <w:lvlJc w:val="left"/>
      <w:pPr>
        <w:ind w:hanging="1080" w:left="1789"/>
      </w:pPr>
    </w:lvl>
    <w:lvl w:ilvl="6">
      <w:start w:val="1"/>
      <w:numFmt w:val="decimal"/>
      <w:lvlText w:val="%1.%2.%3.%4.%5.%6.%7."/>
      <w:lvlJc w:val="left"/>
      <w:pPr>
        <w:ind w:hanging="1440" w:left="2149"/>
      </w:pPr>
    </w:lvl>
    <w:lvl w:ilvl="7">
      <w:start w:val="1"/>
      <w:numFmt w:val="decimal"/>
      <w:lvlText w:val="%1.%2.%3.%4.%5.%6.%7.%8."/>
      <w:lvlJc w:val="left"/>
      <w:pPr>
        <w:ind w:hanging="1440" w:left="2149"/>
      </w:pPr>
    </w:lvl>
    <w:lvl w:ilvl="8">
      <w:start w:val="1"/>
      <w:numFmt w:val="decimal"/>
      <w:lvlText w:val="%1.%2.%3.%4.%5.%6.%7.%8.%9."/>
      <w:lvlJc w:val="left"/>
      <w:pPr>
        <w:ind w:hanging="1800" w:left="2509"/>
      </w:pPr>
    </w:lvl>
  </w:abstractNum>
  <w:abstractNum w:abstractNumId="2">
    <w:lvl w:ilvl="0">
      <w:start w:val="3"/>
      <w:numFmt w:val="decimal"/>
      <w:lvlText w:val="%1."/>
      <w:lvlJc w:val="left"/>
      <w:pPr>
        <w:ind w:hanging="495" w:left="495"/>
      </w:pPr>
      <w:rPr>
        <w:sz w:val="28"/>
      </w:rPr>
    </w:lvl>
    <w:lvl w:ilvl="1">
      <w:start w:val="1"/>
      <w:numFmt w:val="decimal"/>
      <w:lvlText w:val="%1.%2."/>
      <w:lvlJc w:val="left"/>
      <w:pPr>
        <w:ind w:hanging="720" w:left="1430"/>
      </w:pPr>
      <w:rPr>
        <w:b w:val="0"/>
        <w:i w:val="0"/>
        <w:strike w:val="0"/>
        <w:sz w:val="24"/>
      </w:rPr>
    </w:lvl>
    <w:lvl w:ilvl="2">
      <w:start w:val="1"/>
      <w:numFmt w:val="decimal"/>
      <w:lvlText w:val="%1.%2.%3."/>
      <w:lvlJc w:val="left"/>
      <w:pPr>
        <w:ind w:hanging="720" w:left="5964"/>
      </w:pPr>
      <w:rPr>
        <w:i w:val="0"/>
        <w:sz w:val="28"/>
      </w:rPr>
    </w:lvl>
    <w:lvl w:ilvl="3">
      <w:start w:val="1"/>
      <w:numFmt w:val="decimal"/>
      <w:lvlText w:val="%1.%2.%3.%4."/>
      <w:lvlJc w:val="left"/>
      <w:pPr>
        <w:ind w:hanging="1080" w:left="3207"/>
      </w:pPr>
      <w:rPr>
        <w:sz w:val="28"/>
      </w:rPr>
    </w:lvl>
    <w:lvl w:ilvl="4">
      <w:start w:val="1"/>
      <w:numFmt w:val="decimal"/>
      <w:lvlText w:val="%1.%2.%3.%4.%5."/>
      <w:lvlJc w:val="left"/>
      <w:pPr>
        <w:ind w:hanging="1080" w:left="3916"/>
      </w:pPr>
      <w:rPr>
        <w:sz w:val="28"/>
      </w:rPr>
    </w:lvl>
    <w:lvl w:ilvl="5">
      <w:start w:val="1"/>
      <w:numFmt w:val="decimal"/>
      <w:lvlText w:val="%1.%2.%3.%4.%5.%6."/>
      <w:lvlJc w:val="left"/>
      <w:pPr>
        <w:ind w:hanging="1440" w:left="4985"/>
      </w:pPr>
      <w:rPr>
        <w:sz w:val="28"/>
      </w:rPr>
    </w:lvl>
    <w:lvl w:ilvl="6">
      <w:start w:val="1"/>
      <w:numFmt w:val="decimal"/>
      <w:lvlText w:val="%1.%2.%3.%4.%5.%6.%7."/>
      <w:lvlJc w:val="left"/>
      <w:pPr>
        <w:ind w:hanging="1440" w:left="5694"/>
      </w:pPr>
      <w:rPr>
        <w:sz w:val="28"/>
      </w:rPr>
    </w:lvl>
    <w:lvl w:ilvl="7">
      <w:start w:val="1"/>
      <w:numFmt w:val="decimal"/>
      <w:lvlText w:val="%1.%2.%3.%4.%5.%6.%7.%8."/>
      <w:lvlJc w:val="left"/>
      <w:pPr>
        <w:ind w:hanging="1800" w:left="6763"/>
      </w:pPr>
      <w:rPr>
        <w:sz w:val="28"/>
      </w:rPr>
    </w:lvl>
    <w:lvl w:ilvl="8">
      <w:start w:val="1"/>
      <w:numFmt w:val="decimal"/>
      <w:lvlText w:val="%1.%2.%3.%4.%5.%6.%7.%8.%9."/>
      <w:lvlJc w:val="left"/>
      <w:pPr>
        <w:ind w:hanging="1800" w:left="7472"/>
      </w:pPr>
      <w:rPr>
        <w:sz w:val="28"/>
      </w:rPr>
    </w:lvl>
  </w:abstractNum>
  <w:abstractNum w:abstractNumId="3">
    <w:lvl w:ilvl="0">
      <w:start w:val="5"/>
      <w:numFmt w:val="decimal"/>
      <w:lvlText w:val="%1."/>
      <w:lvlJc w:val="left"/>
      <w:pPr>
        <w:ind w:hanging="465" w:left="465"/>
      </w:pPr>
    </w:lvl>
    <w:lvl w:ilvl="1">
      <w:start w:val="11"/>
      <w:numFmt w:val="decimal"/>
      <w:lvlText w:val="%1.%2."/>
      <w:lvlJc w:val="left"/>
      <w:pPr>
        <w:ind w:hanging="465" w:left="1600"/>
      </w:pPr>
    </w:lvl>
    <w:lvl w:ilvl="2">
      <w:start w:val="1"/>
      <w:numFmt w:val="decimal"/>
      <w:lvlText w:val="%1.%2.%3."/>
      <w:lvlJc w:val="left"/>
      <w:pPr>
        <w:ind w:hanging="720" w:left="2990"/>
      </w:pPr>
    </w:lvl>
    <w:lvl w:ilvl="3">
      <w:start w:val="1"/>
      <w:numFmt w:val="decimal"/>
      <w:lvlText w:val="%1.%2.%3.%4."/>
      <w:lvlJc w:val="left"/>
      <w:pPr>
        <w:ind w:hanging="720" w:left="4125"/>
      </w:pPr>
    </w:lvl>
    <w:lvl w:ilvl="4">
      <w:start w:val="1"/>
      <w:numFmt w:val="decimal"/>
      <w:lvlText w:val="%1.%2.%3.%4.%5."/>
      <w:lvlJc w:val="left"/>
      <w:pPr>
        <w:ind w:hanging="1080" w:left="5620"/>
      </w:pPr>
    </w:lvl>
    <w:lvl w:ilvl="5">
      <w:start w:val="1"/>
      <w:numFmt w:val="decimal"/>
      <w:lvlText w:val="%1.%2.%3.%4.%5.%6."/>
      <w:lvlJc w:val="left"/>
      <w:pPr>
        <w:ind w:hanging="1080" w:left="6755"/>
      </w:pPr>
    </w:lvl>
    <w:lvl w:ilvl="6">
      <w:start w:val="1"/>
      <w:numFmt w:val="decimal"/>
      <w:lvlText w:val="%1.%2.%3.%4.%5.%6.%7."/>
      <w:lvlJc w:val="left"/>
      <w:pPr>
        <w:ind w:hanging="1440" w:left="8250"/>
      </w:pPr>
    </w:lvl>
    <w:lvl w:ilvl="7">
      <w:start w:val="1"/>
      <w:numFmt w:val="decimal"/>
      <w:lvlText w:val="%1.%2.%3.%4.%5.%6.%7.%8."/>
      <w:lvlJc w:val="left"/>
      <w:pPr>
        <w:ind w:hanging="1440" w:left="9385"/>
      </w:pPr>
    </w:lvl>
    <w:lvl w:ilvl="8">
      <w:start w:val="1"/>
      <w:numFmt w:val="decimal"/>
      <w:lvlText w:val="%1.%2.%3.%4.%5.%6.%7.%8.%9."/>
      <w:lvlJc w:val="left"/>
      <w:pPr>
        <w:ind w:hanging="1800" w:left="10880"/>
      </w:pPr>
    </w:lvl>
  </w:abstractNum>
  <w:abstractNum w:abstractNumId="4">
    <w:lvl w:ilvl="0">
      <w:start w:val="7"/>
      <w:numFmt w:val="decimal"/>
      <w:lvlText w:val="%1"/>
      <w:lvlJc w:val="left"/>
      <w:pPr>
        <w:ind w:hanging="360" w:left="360"/>
      </w:pPr>
    </w:lvl>
    <w:lvl w:ilvl="1">
      <w:start w:val="1"/>
      <w:numFmt w:val="decimal"/>
      <w:lvlText w:val="%1.%2"/>
      <w:lvlJc w:val="left"/>
      <w:pPr>
        <w:ind w:hanging="360" w:left="360"/>
      </w:pPr>
    </w:lvl>
    <w:lvl w:ilvl="2">
      <w:start w:val="1"/>
      <w:numFmt w:val="decimal"/>
      <w:lvlText w:val="%1.%2.%3"/>
      <w:lvlJc w:val="left"/>
      <w:pPr>
        <w:ind w:hanging="720" w:left="720"/>
      </w:pPr>
    </w:lvl>
    <w:lvl w:ilvl="3">
      <w:start w:val="1"/>
      <w:numFmt w:val="decimal"/>
      <w:lvlText w:val="%1.%2.%3.%4"/>
      <w:lvlJc w:val="left"/>
      <w:pPr>
        <w:ind w:hanging="720" w:left="720"/>
      </w:pPr>
    </w:lvl>
    <w:lvl w:ilvl="4">
      <w:start w:val="1"/>
      <w:numFmt w:val="decimal"/>
      <w:lvlText w:val="%1.%2.%3.%4.%5"/>
      <w:lvlJc w:val="left"/>
      <w:pPr>
        <w:ind w:hanging="1080" w:left="1080"/>
      </w:pPr>
    </w:lvl>
    <w:lvl w:ilvl="5">
      <w:start w:val="1"/>
      <w:numFmt w:val="decimal"/>
      <w:lvlText w:val="%1.%2.%3.%4.%5.%6"/>
      <w:lvlJc w:val="left"/>
      <w:pPr>
        <w:ind w:hanging="1080" w:left="1080"/>
      </w:pPr>
    </w:lvl>
    <w:lvl w:ilvl="6">
      <w:start w:val="1"/>
      <w:numFmt w:val="decimal"/>
      <w:lvlText w:val="%1.%2.%3.%4.%5.%6.%7"/>
      <w:lvlJc w:val="left"/>
      <w:pPr>
        <w:ind w:hanging="1440" w:left="1440"/>
      </w:pPr>
    </w:lvl>
    <w:lvl w:ilvl="7">
      <w:start w:val="1"/>
      <w:numFmt w:val="decimal"/>
      <w:lvlText w:val="%1.%2.%3.%4.%5.%6.%7.%8"/>
      <w:lvlJc w:val="left"/>
      <w:pPr>
        <w:ind w:hanging="1440" w:left="1440"/>
      </w:pPr>
    </w:lvl>
    <w:lvl w:ilvl="8">
      <w:start w:val="1"/>
      <w:numFmt w:val="decimal"/>
      <w:lvlText w:val="%1.%2.%3.%4.%5.%6.%7.%8.%9"/>
      <w:lvlJc w:val="left"/>
      <w:pPr>
        <w:ind w:hanging="1800" w:left="1800"/>
      </w:pPr>
    </w:lvl>
  </w:abstractNum>
  <w:abstractNum w:abstractNumId="5">
    <w:lvl w:ilvl="0">
      <w:start w:val="1"/>
      <w:numFmt w:val="decimal"/>
      <w:lvlText w:val="%1."/>
      <w:lvlJc w:val="left"/>
      <w:pPr>
        <w:tabs>
          <w:tab w:leader="none" w:pos="432" w:val="left"/>
        </w:tabs>
        <w:ind w:hanging="432" w:left="432"/>
      </w:pPr>
    </w:lvl>
    <w:lvl w:ilvl="1">
      <w:start w:val="1"/>
      <w:numFmt w:val="decimal"/>
      <w:lvlText w:val="%1.%2"/>
      <w:lvlJc w:val="left"/>
      <w:pPr>
        <w:tabs>
          <w:tab w:leader="none" w:pos="576" w:val="left"/>
        </w:tabs>
        <w:ind w:hanging="576" w:left="576"/>
      </w:pPr>
    </w:lvl>
    <w:lvl w:ilvl="2">
      <w:start w:val="1"/>
      <w:numFmt w:val="decimal"/>
      <w:lvlText w:val="%1.%2.%3"/>
      <w:lvlJc w:val="left"/>
      <w:pPr>
        <w:tabs>
          <w:tab w:leader="none" w:pos="720" w:val="left"/>
        </w:tabs>
        <w:ind w:hanging="720" w:left="720"/>
      </w:pPr>
    </w:lvl>
    <w:lvl w:ilvl="3">
      <w:start w:val="1"/>
      <w:numFmt w:val="decimal"/>
      <w:lvlText w:val="%1.%2.%3.%4"/>
      <w:lvlJc w:val="left"/>
      <w:pPr>
        <w:tabs>
          <w:tab w:leader="none" w:pos="864" w:val="left"/>
        </w:tabs>
        <w:ind w:hanging="864" w:left="864"/>
      </w:pPr>
    </w:lvl>
    <w:lvl w:ilvl="4">
      <w:start w:val="1"/>
      <w:numFmt w:val="decimal"/>
      <w:lvlText w:val="%1.%2.%3.%4.%5"/>
      <w:lvlJc w:val="left"/>
      <w:pPr>
        <w:tabs>
          <w:tab w:leader="none" w:pos="1008" w:val="left"/>
        </w:tabs>
        <w:ind w:hanging="1008" w:left="1008"/>
      </w:pPr>
    </w:lvl>
    <w:lvl w:ilvl="5">
      <w:start w:val="1"/>
      <w:numFmt w:val="decimal"/>
      <w:pStyle w:val="Style_152"/>
      <w:lvlText w:val="%1.%2.%3.%4.%5.%6"/>
      <w:lvlJc w:val="left"/>
      <w:pPr>
        <w:tabs>
          <w:tab w:leader="none" w:pos="1152" w:val="left"/>
        </w:tabs>
        <w:ind w:hanging="1152" w:left="1152"/>
      </w:pPr>
    </w:lvl>
    <w:lvl w:ilvl="6">
      <w:start w:val="1"/>
      <w:numFmt w:val="decimal"/>
      <w:lvlText w:val="%1.%2.%3.%4.%5.%6.%7"/>
      <w:lvlJc w:val="left"/>
      <w:pPr>
        <w:tabs>
          <w:tab w:leader="none" w:pos="1296" w:val="left"/>
        </w:tabs>
        <w:ind w:hanging="1296" w:left="1296"/>
      </w:pPr>
    </w:lvl>
    <w:lvl w:ilvl="7">
      <w:start w:val="1"/>
      <w:numFmt w:val="decimal"/>
      <w:lvlText w:val="%1.%2.%3.%4.%5.%6.%7.%8"/>
      <w:lvlJc w:val="left"/>
      <w:pPr>
        <w:tabs>
          <w:tab w:leader="none" w:pos="1440" w:val="left"/>
        </w:tabs>
        <w:ind w:hanging="1440" w:left="1440"/>
      </w:pPr>
    </w:lvl>
    <w:lvl w:ilvl="8">
      <w:start w:val="1"/>
      <w:numFmt w:val="decimal"/>
      <w:pStyle w:val="Style_51"/>
      <w:lvlText w:val="%1.%2.%3.%4.%5.%6.%7.%8.%9"/>
      <w:lvlJc w:val="left"/>
      <w:pPr>
        <w:tabs>
          <w:tab w:leader="none" w:pos="1584" w:val="left"/>
        </w:tabs>
        <w:ind w:hanging="1584" w:left="1584"/>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9"/>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1" w:type="paragraph">
    <w:name w:val="Normal"/>
    <w:link w:val="Style_11_ch"/>
    <w:uiPriority w:val="0"/>
    <w:qFormat/>
    <w:rPr>
      <w:sz w:val="24"/>
    </w:rPr>
  </w:style>
  <w:style w:default="1" w:styleId="Style_11_ch" w:type="character">
    <w:name w:val="Normal"/>
    <w:link w:val="Style_11"/>
    <w:rPr>
      <w:sz w:val="24"/>
    </w:rPr>
  </w:style>
  <w:style w:styleId="Style_12" w:type="paragraph">
    <w:name w:val="text"/>
    <w:link w:val="Style_12_ch"/>
  </w:style>
  <w:style w:styleId="Style_12_ch" w:type="character">
    <w:name w:val="text"/>
    <w:link w:val="Style_12"/>
  </w:style>
  <w:style w:styleId="Style_13" w:type="paragraph">
    <w:name w:val="Знак Знак4"/>
    <w:link w:val="Style_13_ch"/>
    <w:rPr>
      <w:b w:val="1"/>
      <w:sz w:val="28"/>
    </w:rPr>
  </w:style>
  <w:style w:styleId="Style_13_ch" w:type="character">
    <w:name w:val="Знак Знак4"/>
    <w:link w:val="Style_13"/>
    <w:rPr>
      <w:b w:val="1"/>
      <w:sz w:val="28"/>
    </w:rPr>
  </w:style>
  <w:style w:styleId="Style_14" w:type="paragraph">
    <w:name w:val="ConsNonformat"/>
    <w:link w:val="Style_14_ch"/>
    <w:pPr>
      <w:widowControl w:val="0"/>
      <w:ind w:right="19772"/>
    </w:pPr>
    <w:rPr>
      <w:rFonts w:ascii="Courier New" w:hAnsi="Courier New"/>
    </w:rPr>
  </w:style>
  <w:style w:styleId="Style_14_ch" w:type="character">
    <w:name w:val="ConsNonformat"/>
    <w:link w:val="Style_14"/>
    <w:rPr>
      <w:rFonts w:ascii="Courier New" w:hAnsi="Courier New"/>
    </w:rPr>
  </w:style>
  <w:style w:styleId="Style_15" w:type="paragraph">
    <w:name w:val="Абзац списка1"/>
    <w:basedOn w:val="Style_11"/>
    <w:link w:val="Style_15_ch"/>
    <w:pPr>
      <w:spacing w:after="200" w:line="276" w:lineRule="auto"/>
      <w:ind w:firstLine="0" w:left="720"/>
    </w:pPr>
    <w:rPr>
      <w:rFonts w:ascii="Calibri" w:hAnsi="Calibri"/>
      <w:sz w:val="22"/>
    </w:rPr>
  </w:style>
  <w:style w:styleId="Style_15_ch" w:type="character">
    <w:name w:val="Абзац списка1"/>
    <w:basedOn w:val="Style_11_ch"/>
    <w:link w:val="Style_15"/>
    <w:rPr>
      <w:rFonts w:ascii="Calibri" w:hAnsi="Calibri"/>
      <w:sz w:val="22"/>
    </w:rPr>
  </w:style>
  <w:style w:styleId="Style_16" w:type="paragraph">
    <w:name w:val="toc 2"/>
    <w:next w:val="Style_11"/>
    <w:link w:val="Style_16_ch"/>
    <w:uiPriority w:val="39"/>
    <w:pPr>
      <w:ind w:firstLine="0" w:left="200"/>
      <w:jc w:val="left"/>
    </w:pPr>
    <w:rPr>
      <w:rFonts w:ascii="XO Thames" w:hAnsi="XO Thames"/>
      <w:sz w:val="28"/>
    </w:rPr>
  </w:style>
  <w:style w:styleId="Style_16_ch" w:type="character">
    <w:name w:val="toc 2"/>
    <w:link w:val="Style_16"/>
    <w:rPr>
      <w:rFonts w:ascii="XO Thames" w:hAnsi="XO Thames"/>
      <w:sz w:val="28"/>
    </w:rPr>
  </w:style>
  <w:style w:styleId="Style_17" w:type="paragraph">
    <w:name w:val="2-11"/>
    <w:basedOn w:val="Style_11"/>
    <w:link w:val="Style_17_ch"/>
    <w:pPr>
      <w:spacing w:after="60"/>
      <w:ind/>
      <w:jc w:val="both"/>
    </w:pPr>
  </w:style>
  <w:style w:styleId="Style_17_ch" w:type="character">
    <w:name w:val="2-11"/>
    <w:basedOn w:val="Style_11_ch"/>
    <w:link w:val="Style_17"/>
  </w:style>
  <w:style w:styleId="Style_18" w:type="paragraph">
    <w:name w:val="Heading"/>
    <w:link w:val="Style_18_ch"/>
    <w:rPr>
      <w:rFonts w:ascii="Arial" w:hAnsi="Arial"/>
      <w:b w:val="1"/>
      <w:sz w:val="22"/>
    </w:rPr>
  </w:style>
  <w:style w:styleId="Style_18_ch" w:type="character">
    <w:name w:val="Heading"/>
    <w:link w:val="Style_18"/>
    <w:rPr>
      <w:rFonts w:ascii="Arial" w:hAnsi="Arial"/>
      <w:b w:val="1"/>
      <w:sz w:val="22"/>
    </w:rPr>
  </w:style>
  <w:style w:styleId="Style_19" w:type="paragraph">
    <w:name w:val="toc 4"/>
    <w:next w:val="Style_11"/>
    <w:link w:val="Style_19_ch"/>
    <w:uiPriority w:val="39"/>
    <w:pPr>
      <w:ind w:firstLine="0" w:left="600"/>
      <w:jc w:val="left"/>
    </w:pPr>
    <w:rPr>
      <w:rFonts w:ascii="XO Thames" w:hAnsi="XO Thames"/>
      <w:sz w:val="28"/>
    </w:rPr>
  </w:style>
  <w:style w:styleId="Style_19_ch" w:type="character">
    <w:name w:val="toc 4"/>
    <w:link w:val="Style_19"/>
    <w:rPr>
      <w:rFonts w:ascii="XO Thames" w:hAnsi="XO Thames"/>
      <w:sz w:val="28"/>
    </w:rPr>
  </w:style>
  <w:style w:styleId="Style_20" w:type="paragraph">
    <w:name w:val="Default Paragraph Font"/>
    <w:link w:val="Style_20_ch"/>
  </w:style>
  <w:style w:styleId="Style_20_ch" w:type="character">
    <w:name w:val="Default Paragraph Font"/>
    <w:link w:val="Style_20"/>
  </w:style>
  <w:style w:styleId="Style_21" w:type="paragraph">
    <w:name w:val="heading 7"/>
    <w:basedOn w:val="Style_11"/>
    <w:next w:val="Style_11"/>
    <w:link w:val="Style_21_ch"/>
    <w:uiPriority w:val="9"/>
    <w:qFormat/>
    <w:pPr>
      <w:keepNext w:val="1"/>
      <w:keepLines w:val="1"/>
      <w:widowControl w:val="0"/>
      <w:ind/>
      <w:outlineLvl w:val="6"/>
    </w:pPr>
    <w:rPr>
      <w:rFonts w:ascii="Calibri" w:hAnsi="Calibri"/>
    </w:rPr>
  </w:style>
  <w:style w:styleId="Style_21_ch" w:type="character">
    <w:name w:val="heading 7"/>
    <w:basedOn w:val="Style_11_ch"/>
    <w:link w:val="Style_21"/>
    <w:rPr>
      <w:rFonts w:ascii="Calibri" w:hAnsi="Calibri"/>
    </w:rPr>
  </w:style>
  <w:style w:styleId="Style_22" w:type="paragraph">
    <w:name w:val="3"/>
    <w:basedOn w:val="Style_11"/>
    <w:link w:val="Style_22_ch"/>
    <w:pPr>
      <w:ind/>
      <w:jc w:val="both"/>
    </w:pPr>
  </w:style>
  <w:style w:styleId="Style_22_ch" w:type="character">
    <w:name w:val="3"/>
    <w:basedOn w:val="Style_11_ch"/>
    <w:link w:val="Style_22"/>
  </w:style>
  <w:style w:styleId="Style_23" w:type="paragraph">
    <w:name w:val="Знак Знак71"/>
    <w:link w:val="Style_23_ch"/>
    <w:rPr>
      <w:b w:val="1"/>
      <w:i w:val="1"/>
      <w:sz w:val="24"/>
    </w:rPr>
  </w:style>
  <w:style w:styleId="Style_23_ch" w:type="character">
    <w:name w:val="Знак Знак71"/>
    <w:link w:val="Style_23"/>
    <w:rPr>
      <w:b w:val="1"/>
      <w:i w:val="1"/>
      <w:sz w:val="24"/>
    </w:rPr>
  </w:style>
  <w:style w:styleId="Style_24" w:type="paragraph">
    <w:name w:val="toc 6"/>
    <w:next w:val="Style_11"/>
    <w:link w:val="Style_24_ch"/>
    <w:uiPriority w:val="39"/>
    <w:pPr>
      <w:ind w:firstLine="0" w:left="1000"/>
      <w:jc w:val="left"/>
    </w:pPr>
    <w:rPr>
      <w:rFonts w:ascii="XO Thames" w:hAnsi="XO Thames"/>
      <w:sz w:val="28"/>
    </w:rPr>
  </w:style>
  <w:style w:styleId="Style_24_ch" w:type="character">
    <w:name w:val="toc 6"/>
    <w:link w:val="Style_24"/>
    <w:rPr>
      <w:rFonts w:ascii="XO Thames" w:hAnsi="XO Thames"/>
      <w:sz w:val="28"/>
    </w:rPr>
  </w:style>
  <w:style w:styleId="Style_25" w:type="paragraph">
    <w:name w:val="FollowedHyperlink"/>
    <w:link w:val="Style_25_ch"/>
    <w:rPr>
      <w:color w:val="800080"/>
      <w:u w:val="single"/>
    </w:rPr>
  </w:style>
  <w:style w:styleId="Style_25_ch" w:type="character">
    <w:name w:val="FollowedHyperlink"/>
    <w:link w:val="Style_25"/>
    <w:rPr>
      <w:color w:val="800080"/>
      <w:u w:val="single"/>
    </w:rPr>
  </w:style>
  <w:style w:styleId="Style_26" w:type="paragraph">
    <w:name w:val="Знак Знак51"/>
    <w:link w:val="Style_26_ch"/>
    <w:rPr>
      <w:sz w:val="24"/>
    </w:rPr>
  </w:style>
  <w:style w:styleId="Style_26_ch" w:type="character">
    <w:name w:val="Знак Знак51"/>
    <w:link w:val="Style_26"/>
    <w:rPr>
      <w:sz w:val="24"/>
    </w:rPr>
  </w:style>
  <w:style w:styleId="Style_27" w:type="paragraph">
    <w:name w:val="toc 7"/>
    <w:next w:val="Style_11"/>
    <w:link w:val="Style_27_ch"/>
    <w:uiPriority w:val="39"/>
    <w:pPr>
      <w:ind w:firstLine="0" w:left="1200"/>
      <w:jc w:val="left"/>
    </w:pPr>
    <w:rPr>
      <w:rFonts w:ascii="XO Thames" w:hAnsi="XO Thames"/>
      <w:sz w:val="28"/>
    </w:rPr>
  </w:style>
  <w:style w:styleId="Style_27_ch" w:type="character">
    <w:name w:val="toc 7"/>
    <w:link w:val="Style_27"/>
    <w:rPr>
      <w:rFonts w:ascii="XO Thames" w:hAnsi="XO Thames"/>
      <w:sz w:val="28"/>
    </w:rPr>
  </w:style>
  <w:style w:styleId="Style_28" w:type="paragraph">
    <w:name w:val="Знак1"/>
    <w:basedOn w:val="Style_11"/>
    <w:link w:val="Style_28_ch"/>
    <w:pPr>
      <w:widowControl w:val="0"/>
      <w:spacing w:after="160" w:line="240" w:lineRule="exact"/>
      <w:ind/>
      <w:jc w:val="right"/>
    </w:pPr>
    <w:rPr>
      <w:rFonts w:ascii="Arial" w:hAnsi="Arial"/>
      <w:sz w:val="20"/>
    </w:rPr>
  </w:style>
  <w:style w:styleId="Style_28_ch" w:type="character">
    <w:name w:val="Знак1"/>
    <w:basedOn w:val="Style_11_ch"/>
    <w:link w:val="Style_28"/>
    <w:rPr>
      <w:rFonts w:ascii="Arial" w:hAnsi="Arial"/>
      <w:sz w:val="20"/>
    </w:rPr>
  </w:style>
  <w:style w:styleId="Style_29" w:type="paragraph">
    <w:name w:val="Обычный + 11 пт"/>
    <w:basedOn w:val="Style_11"/>
    <w:link w:val="Style_29_ch"/>
    <w:pPr>
      <w:ind/>
      <w:jc w:val="center"/>
      <w:outlineLvl w:val="1"/>
    </w:pPr>
    <w:rPr>
      <w:b w:val="1"/>
      <w:color w:val="333333"/>
      <w:sz w:val="22"/>
    </w:rPr>
  </w:style>
  <w:style w:styleId="Style_29_ch" w:type="character">
    <w:name w:val="Обычный + 11 пт"/>
    <w:basedOn w:val="Style_11_ch"/>
    <w:link w:val="Style_29"/>
    <w:rPr>
      <w:b w:val="1"/>
      <w:color w:val="333333"/>
      <w:sz w:val="22"/>
    </w:rPr>
  </w:style>
  <w:style w:styleId="Style_30" w:type="paragraph">
    <w:name w:val="Emphasis"/>
    <w:link w:val="Style_30_ch"/>
    <w:rPr>
      <w:i w:val="1"/>
    </w:rPr>
  </w:style>
  <w:style w:styleId="Style_30_ch" w:type="character">
    <w:name w:val="Emphasis"/>
    <w:link w:val="Style_30"/>
    <w:rPr>
      <w:i w:val="1"/>
    </w:rPr>
  </w:style>
  <w:style w:styleId="Style_31" w:type="paragraph">
    <w:name w:val="Style2"/>
    <w:basedOn w:val="Style_32"/>
    <w:link w:val="Style_31_ch"/>
    <w:pPr>
      <w:tabs>
        <w:tab w:leader="none" w:pos="720" w:val="left"/>
      </w:tabs>
      <w:ind/>
    </w:pPr>
  </w:style>
  <w:style w:styleId="Style_31_ch" w:type="character">
    <w:name w:val="Style2"/>
    <w:basedOn w:val="Style_32_ch"/>
    <w:link w:val="Style_31"/>
  </w:style>
  <w:style w:styleId="Style_33" w:type="paragraph">
    <w:name w:val="Знак Знак1"/>
    <w:link w:val="Style_33_ch"/>
    <w:rPr>
      <w:b w:val="1"/>
      <w:i w:val="1"/>
      <w:sz w:val="24"/>
    </w:rPr>
  </w:style>
  <w:style w:styleId="Style_33_ch" w:type="character">
    <w:name w:val="Знак Знак1"/>
    <w:link w:val="Style_33"/>
    <w:rPr>
      <w:b w:val="1"/>
      <w:i w:val="1"/>
      <w:sz w:val="24"/>
    </w:rPr>
  </w:style>
  <w:style w:styleId="Style_34" w:type="paragraph">
    <w:name w:val="Date"/>
    <w:basedOn w:val="Style_11"/>
    <w:next w:val="Style_11"/>
    <w:link w:val="Style_34_ch"/>
    <w:pPr>
      <w:spacing w:after="60"/>
      <w:ind/>
      <w:jc w:val="both"/>
    </w:pPr>
  </w:style>
  <w:style w:styleId="Style_34_ch" w:type="character">
    <w:name w:val="Date"/>
    <w:basedOn w:val="Style_11_ch"/>
    <w:link w:val="Style_34"/>
  </w:style>
  <w:style w:styleId="Style_5" w:type="paragraph">
    <w:name w:val=".FORMATTEXT"/>
    <w:link w:val="Style_5_ch"/>
    <w:pPr>
      <w:widowControl w:val="0"/>
      <w:ind/>
    </w:pPr>
    <w:rPr>
      <w:sz w:val="24"/>
    </w:rPr>
  </w:style>
  <w:style w:styleId="Style_5_ch" w:type="character">
    <w:name w:val=".FORMATTEXT"/>
    <w:link w:val="Style_5"/>
    <w:rPr>
      <w:sz w:val="24"/>
    </w:rPr>
  </w:style>
  <w:style w:styleId="Style_35" w:type="paragraph">
    <w:name w:val="Style First line:  127 cm"/>
    <w:basedOn w:val="Style_11"/>
    <w:link w:val="Style_35_ch"/>
    <w:pPr>
      <w:spacing w:before="120"/>
      <w:ind w:firstLine="720" w:left="0"/>
      <w:jc w:val="both"/>
    </w:pPr>
    <w:rPr>
      <w:rFonts w:ascii="Arial" w:hAnsi="Arial"/>
    </w:rPr>
  </w:style>
  <w:style w:styleId="Style_35_ch" w:type="character">
    <w:name w:val="Style First line:  127 cm"/>
    <w:basedOn w:val="Style_11_ch"/>
    <w:link w:val="Style_35"/>
    <w:rPr>
      <w:rFonts w:ascii="Arial" w:hAnsi="Arial"/>
    </w:rPr>
  </w:style>
  <w:style w:styleId="Style_36" w:type="paragraph">
    <w:name w:val="Style9"/>
    <w:basedOn w:val="Style_11"/>
    <w:link w:val="Style_36_ch"/>
    <w:pPr>
      <w:widowControl w:val="0"/>
      <w:ind/>
    </w:pPr>
  </w:style>
  <w:style w:styleId="Style_36_ch" w:type="character">
    <w:name w:val="Style9"/>
    <w:basedOn w:val="Style_11_ch"/>
    <w:link w:val="Style_36"/>
  </w:style>
  <w:style w:styleId="Style_37" w:type="paragraph">
    <w:name w:val="Body Text 3"/>
    <w:basedOn w:val="Style_11"/>
    <w:link w:val="Style_37_ch"/>
    <w:pPr>
      <w:spacing w:after="120"/>
      <w:ind/>
    </w:pPr>
    <w:rPr>
      <w:sz w:val="16"/>
    </w:rPr>
  </w:style>
  <w:style w:styleId="Style_37_ch" w:type="character">
    <w:name w:val="Body Text 3"/>
    <w:basedOn w:val="Style_11_ch"/>
    <w:link w:val="Style_37"/>
    <w:rPr>
      <w:sz w:val="16"/>
    </w:rPr>
  </w:style>
  <w:style w:styleId="Style_38" w:type="paragraph">
    <w:name w:val="Heading 2 Char"/>
    <w:link w:val="Style_38_ch"/>
    <w:rPr>
      <w:b w:val="1"/>
      <w:sz w:val="24"/>
    </w:rPr>
  </w:style>
  <w:style w:styleId="Style_38_ch" w:type="character">
    <w:name w:val="Heading 2 Char"/>
    <w:link w:val="Style_38"/>
    <w:rPr>
      <w:b w:val="1"/>
      <w:sz w:val="24"/>
    </w:rPr>
  </w:style>
  <w:style w:styleId="Style_39" w:type="paragraph">
    <w:name w:val="ter"/>
    <w:link w:val="Style_39_ch"/>
  </w:style>
  <w:style w:styleId="Style_39_ch" w:type="character">
    <w:name w:val="ter"/>
    <w:link w:val="Style_39"/>
  </w:style>
  <w:style w:styleId="Style_40" w:type="paragraph">
    <w:name w:val="Endnote"/>
    <w:link w:val="Style_40_ch"/>
    <w:pPr>
      <w:ind w:firstLine="851" w:left="0"/>
      <w:jc w:val="both"/>
    </w:pPr>
    <w:rPr>
      <w:rFonts w:ascii="XO Thames" w:hAnsi="XO Thames"/>
      <w:sz w:val="22"/>
    </w:rPr>
  </w:style>
  <w:style w:styleId="Style_40_ch" w:type="character">
    <w:name w:val="Endnote"/>
    <w:link w:val="Style_40"/>
    <w:rPr>
      <w:rFonts w:ascii="XO Thames" w:hAnsi="XO Thames"/>
      <w:sz w:val="22"/>
    </w:rPr>
  </w:style>
  <w:style w:styleId="Style_41" w:type="paragraph">
    <w:name w:val="heading 3"/>
    <w:basedOn w:val="Style_11"/>
    <w:next w:val="Style_11"/>
    <w:link w:val="Style_41_ch"/>
    <w:uiPriority w:val="9"/>
    <w:qFormat/>
    <w:pPr>
      <w:keepNext w:val="1"/>
      <w:spacing w:after="60" w:before="240"/>
      <w:ind/>
      <w:outlineLvl w:val="2"/>
    </w:pPr>
    <w:rPr>
      <w:rFonts w:ascii="Arial" w:hAnsi="Arial"/>
      <w:b w:val="1"/>
      <w:sz w:val="26"/>
    </w:rPr>
  </w:style>
  <w:style w:styleId="Style_41_ch" w:type="character">
    <w:name w:val="heading 3"/>
    <w:basedOn w:val="Style_11_ch"/>
    <w:link w:val="Style_41"/>
    <w:rPr>
      <w:rFonts w:ascii="Arial" w:hAnsi="Arial"/>
      <w:b w:val="1"/>
      <w:sz w:val="26"/>
    </w:rPr>
  </w:style>
  <w:style w:styleId="Style_42" w:type="paragraph">
    <w:name w:val="Знак Знак41"/>
    <w:link w:val="Style_42_ch"/>
    <w:rPr>
      <w:b w:val="1"/>
      <w:sz w:val="28"/>
    </w:rPr>
  </w:style>
  <w:style w:styleId="Style_42_ch" w:type="character">
    <w:name w:val="Знак Знак41"/>
    <w:link w:val="Style_42"/>
    <w:rPr>
      <w:b w:val="1"/>
      <w:sz w:val="28"/>
    </w:rPr>
  </w:style>
  <w:style w:styleId="Style_43" w:type="paragraph">
    <w:name w:val="Неразрешенное упоминание1"/>
    <w:basedOn w:val="Style_20"/>
    <w:link w:val="Style_43_ch"/>
    <w:rPr>
      <w:color w:val="605E5C"/>
      <w:shd w:fill="E1DFDD" w:val="clear"/>
    </w:rPr>
  </w:style>
  <w:style w:styleId="Style_43_ch" w:type="character">
    <w:name w:val="Неразрешенное упоминание1"/>
    <w:basedOn w:val="Style_20_ch"/>
    <w:link w:val="Style_43"/>
    <w:rPr>
      <w:color w:val="605E5C"/>
      <w:shd w:fill="E1DFDD" w:val="clear"/>
    </w:rPr>
  </w:style>
  <w:style w:styleId="Style_44" w:type="paragraph">
    <w:name w:val="List Number 4"/>
    <w:basedOn w:val="Style_11"/>
    <w:link w:val="Style_44_ch"/>
    <w:pPr>
      <w:tabs>
        <w:tab w:leader="none" w:pos="1209" w:val="left"/>
      </w:tabs>
      <w:spacing w:after="60"/>
      <w:ind w:hanging="360" w:left="1209"/>
      <w:jc w:val="both"/>
    </w:pPr>
  </w:style>
  <w:style w:styleId="Style_44_ch" w:type="character">
    <w:name w:val="List Number 4"/>
    <w:basedOn w:val="Style_11_ch"/>
    <w:link w:val="Style_44"/>
  </w:style>
  <w:style w:styleId="Style_45" w:type="paragraph">
    <w:name w:val="222"/>
    <w:basedOn w:val="Style_11"/>
    <w:link w:val="Style_45_ch"/>
    <w:pPr>
      <w:ind w:firstLine="0" w:left="851"/>
    </w:pPr>
    <w:rPr>
      <w:rFonts w:ascii="Times New Roman CYR" w:hAnsi="Times New Roman CYR"/>
      <w:sz w:val="20"/>
    </w:rPr>
  </w:style>
  <w:style w:styleId="Style_45_ch" w:type="character">
    <w:name w:val="222"/>
    <w:basedOn w:val="Style_11_ch"/>
    <w:link w:val="Style_45"/>
    <w:rPr>
      <w:rFonts w:ascii="Times New Roman CYR" w:hAnsi="Times New Roman CYR"/>
      <w:sz w:val="20"/>
    </w:rPr>
  </w:style>
  <w:style w:styleId="Style_46" w:type="paragraph">
    <w:name w:val="заголовок 6"/>
    <w:basedOn w:val="Style_11"/>
    <w:next w:val="Style_11"/>
    <w:link w:val="Style_46_ch"/>
    <w:pPr>
      <w:keepNext w:val="1"/>
      <w:ind/>
    </w:pPr>
  </w:style>
  <w:style w:styleId="Style_46_ch" w:type="character">
    <w:name w:val="заголовок 6"/>
    <w:basedOn w:val="Style_11_ch"/>
    <w:link w:val="Style_46"/>
  </w:style>
  <w:style w:styleId="Style_47" w:type="paragraph">
    <w:name w:val="style4"/>
    <w:basedOn w:val="Style_11"/>
    <w:link w:val="Style_47_ch"/>
    <w:pPr>
      <w:spacing w:afterAutospacing="on" w:beforeAutospacing="on"/>
      <w:ind/>
    </w:pPr>
  </w:style>
  <w:style w:styleId="Style_47_ch" w:type="character">
    <w:name w:val="style4"/>
    <w:basedOn w:val="Style_11_ch"/>
    <w:link w:val="Style_47"/>
  </w:style>
  <w:style w:styleId="Style_48" w:type="paragraph">
    <w:name w:val="Тендерные данные"/>
    <w:basedOn w:val="Style_11"/>
    <w:link w:val="Style_48_ch"/>
    <w:pPr>
      <w:tabs>
        <w:tab w:leader="none" w:pos="1985" w:val="left"/>
      </w:tabs>
      <w:spacing w:after="60" w:before="120"/>
      <w:ind/>
      <w:jc w:val="both"/>
    </w:pPr>
    <w:rPr>
      <w:b w:val="1"/>
    </w:rPr>
  </w:style>
  <w:style w:styleId="Style_48_ch" w:type="character">
    <w:name w:val="Тендерные данные"/>
    <w:basedOn w:val="Style_11_ch"/>
    <w:link w:val="Style_48"/>
    <w:rPr>
      <w:b w:val="1"/>
    </w:rPr>
  </w:style>
  <w:style w:styleId="Style_49" w:type="paragraph">
    <w:name w:val="Body Text"/>
    <w:basedOn w:val="Style_11"/>
    <w:link w:val="Style_49_ch"/>
    <w:pPr>
      <w:ind/>
      <w:jc w:val="both"/>
    </w:pPr>
  </w:style>
  <w:style w:styleId="Style_49_ch" w:type="character">
    <w:name w:val="Body Text"/>
    <w:basedOn w:val="Style_11_ch"/>
    <w:link w:val="Style_49"/>
  </w:style>
  <w:style w:styleId="Style_50" w:type="paragraph">
    <w:name w:val="Основной текст 21"/>
    <w:basedOn w:val="Style_11"/>
    <w:link w:val="Style_50_ch"/>
    <w:pPr>
      <w:ind/>
      <w:jc w:val="center"/>
    </w:pPr>
    <w:rPr>
      <w:b w:val="1"/>
      <w:sz w:val="28"/>
    </w:rPr>
  </w:style>
  <w:style w:styleId="Style_50_ch" w:type="character">
    <w:name w:val="Основной текст 21"/>
    <w:basedOn w:val="Style_11_ch"/>
    <w:link w:val="Style_50"/>
    <w:rPr>
      <w:b w:val="1"/>
      <w:sz w:val="28"/>
    </w:rPr>
  </w:style>
  <w:style w:styleId="Style_51" w:type="paragraph">
    <w:name w:val="heading 9"/>
    <w:basedOn w:val="Style_11"/>
    <w:next w:val="Style_11"/>
    <w:link w:val="Style_51_ch"/>
    <w:uiPriority w:val="9"/>
    <w:qFormat/>
    <w:pPr>
      <w:numPr>
        <w:ilvl w:val="8"/>
        <w:numId w:val="6"/>
      </w:numPr>
      <w:spacing w:after="60" w:before="240"/>
      <w:ind/>
      <w:jc w:val="both"/>
      <w:outlineLvl w:val="8"/>
    </w:pPr>
    <w:rPr>
      <w:rFonts w:ascii="Arial" w:hAnsi="Arial"/>
      <w:b w:val="1"/>
      <w:i w:val="1"/>
      <w:sz w:val="18"/>
    </w:rPr>
  </w:style>
  <w:style w:styleId="Style_51_ch" w:type="character">
    <w:name w:val="heading 9"/>
    <w:basedOn w:val="Style_11_ch"/>
    <w:link w:val="Style_51"/>
    <w:rPr>
      <w:rFonts w:ascii="Arial" w:hAnsi="Arial"/>
      <w:b w:val="1"/>
      <w:i w:val="1"/>
      <w:sz w:val="18"/>
    </w:rPr>
  </w:style>
  <w:style w:styleId="Style_52" w:type="paragraph">
    <w:name w:val="ШТ Назв.2"/>
    <w:basedOn w:val="Style_11"/>
    <w:link w:val="Style_52_ch"/>
    <w:pPr>
      <w:spacing w:before="60"/>
      <w:ind/>
      <w:jc w:val="center"/>
    </w:pPr>
    <w:rPr>
      <w:b w:val="1"/>
    </w:rPr>
  </w:style>
  <w:style w:styleId="Style_52_ch" w:type="character">
    <w:name w:val="ШТ Назв.2"/>
    <w:basedOn w:val="Style_11_ch"/>
    <w:link w:val="Style_52"/>
    <w:rPr>
      <w:b w:val="1"/>
    </w:rPr>
  </w:style>
  <w:style w:styleId="Style_53" w:type="paragraph">
    <w:name w:val="Подраздел"/>
    <w:basedOn w:val="Style_11"/>
    <w:link w:val="Style_53_ch"/>
    <w:pPr>
      <w:spacing w:after="120" w:before="240"/>
      <w:ind/>
      <w:jc w:val="center"/>
    </w:pPr>
    <w:rPr>
      <w:rFonts w:ascii="TimesDL" w:hAnsi="TimesDL"/>
      <w:b w:val="1"/>
      <w:smallCaps w:val="1"/>
      <w:spacing w:val="-2"/>
    </w:rPr>
  </w:style>
  <w:style w:styleId="Style_53_ch" w:type="character">
    <w:name w:val="Подраздел"/>
    <w:basedOn w:val="Style_11_ch"/>
    <w:link w:val="Style_53"/>
    <w:rPr>
      <w:rFonts w:ascii="TimesDL" w:hAnsi="TimesDL"/>
      <w:b w:val="1"/>
      <w:smallCaps w:val="1"/>
      <w:spacing w:val="-2"/>
    </w:rPr>
  </w:style>
  <w:style w:styleId="Style_54" w:type="paragraph">
    <w:name w:val="Стиль2"/>
    <w:basedOn w:val="Style_55"/>
    <w:link w:val="Style_54_ch"/>
    <w:pPr>
      <w:keepNext w:val="1"/>
      <w:keepLines w:val="1"/>
      <w:widowControl w:val="0"/>
      <w:spacing w:after="60"/>
      <w:ind w:hanging="360" w:left="360"/>
      <w:jc w:val="both"/>
    </w:pPr>
    <w:rPr>
      <w:b w:val="1"/>
      <w:sz w:val="24"/>
    </w:rPr>
  </w:style>
  <w:style w:styleId="Style_54_ch" w:type="character">
    <w:name w:val="Стиль2"/>
    <w:basedOn w:val="Style_55_ch"/>
    <w:link w:val="Style_54"/>
    <w:rPr>
      <w:b w:val="1"/>
      <w:sz w:val="24"/>
    </w:rPr>
  </w:style>
  <w:style w:styleId="Style_56" w:type="paragraph">
    <w:name w:val="заголовок 11"/>
    <w:basedOn w:val="Style_11"/>
    <w:next w:val="Style_11"/>
    <w:link w:val="Style_56_ch"/>
    <w:pPr>
      <w:keepNext w:val="1"/>
      <w:ind/>
      <w:jc w:val="center"/>
    </w:pPr>
  </w:style>
  <w:style w:styleId="Style_56_ch" w:type="character">
    <w:name w:val="заголовок 11"/>
    <w:basedOn w:val="Style_11_ch"/>
    <w:link w:val="Style_56"/>
  </w:style>
  <w:style w:styleId="Style_57" w:type="paragraph">
    <w:name w:val="Style1"/>
    <w:basedOn w:val="Style_11"/>
    <w:link w:val="Style_57_ch"/>
    <w:pPr>
      <w:tabs>
        <w:tab w:leader="none" w:pos="540" w:val="left"/>
      </w:tabs>
      <w:spacing w:after="240" w:before="480"/>
      <w:ind w:hanging="540" w:left="540"/>
      <w:jc w:val="center"/>
    </w:pPr>
    <w:rPr>
      <w:rFonts w:ascii="Arial" w:hAnsi="Arial"/>
      <w:b w:val="1"/>
    </w:rPr>
  </w:style>
  <w:style w:styleId="Style_57_ch" w:type="character">
    <w:name w:val="Style1"/>
    <w:basedOn w:val="Style_11_ch"/>
    <w:link w:val="Style_57"/>
    <w:rPr>
      <w:rFonts w:ascii="Arial" w:hAnsi="Arial"/>
      <w:b w:val="1"/>
    </w:rPr>
  </w:style>
  <w:style w:styleId="Style_58" w:type="paragraph">
    <w:name w:val="Document Map"/>
    <w:basedOn w:val="Style_11"/>
    <w:link w:val="Style_58_ch"/>
    <w:rPr>
      <w:sz w:val="2"/>
    </w:rPr>
  </w:style>
  <w:style w:styleId="Style_58_ch" w:type="character">
    <w:name w:val="Document Map"/>
    <w:basedOn w:val="Style_11_ch"/>
    <w:link w:val="Style_58"/>
    <w:rPr>
      <w:sz w:val="2"/>
    </w:rPr>
  </w:style>
  <w:style w:styleId="Style_59" w:type="paragraph">
    <w:name w:val="Основной текст с отступом 211"/>
    <w:basedOn w:val="Style_11"/>
    <w:link w:val="Style_59_ch"/>
    <w:pPr>
      <w:ind w:firstLine="0" w:left="426"/>
    </w:pPr>
  </w:style>
  <w:style w:styleId="Style_59_ch" w:type="character">
    <w:name w:val="Основной текст с отступом 211"/>
    <w:basedOn w:val="Style_11_ch"/>
    <w:link w:val="Style_59"/>
  </w:style>
  <w:style w:styleId="Style_60" w:type="paragraph">
    <w:name w:val="Знак2 Знак Знак2"/>
    <w:link w:val="Style_60_ch"/>
    <w:rPr>
      <w:sz w:val="24"/>
    </w:rPr>
  </w:style>
  <w:style w:styleId="Style_60_ch" w:type="character">
    <w:name w:val="Знак2 Знак Знак2"/>
    <w:link w:val="Style_60"/>
    <w:rPr>
      <w:sz w:val="24"/>
    </w:rPr>
  </w:style>
  <w:style w:styleId="Style_61" w:type="paragraph">
    <w:name w:val="List"/>
    <w:basedOn w:val="Style_11"/>
    <w:link w:val="Style_61_ch"/>
    <w:pPr>
      <w:ind w:hanging="283" w:left="283"/>
    </w:pPr>
    <w:rPr>
      <w:sz w:val="20"/>
    </w:rPr>
  </w:style>
  <w:style w:styleId="Style_61_ch" w:type="character">
    <w:name w:val="List"/>
    <w:basedOn w:val="Style_11_ch"/>
    <w:link w:val="Style_61"/>
    <w:rPr>
      <w:sz w:val="20"/>
    </w:rPr>
  </w:style>
  <w:style w:styleId="Style_62" w:type="paragraph">
    <w:name w:val="label"/>
    <w:link w:val="Style_62_ch"/>
  </w:style>
  <w:style w:styleId="Style_62_ch" w:type="character">
    <w:name w:val="label"/>
    <w:link w:val="Style_62"/>
  </w:style>
  <w:style w:styleId="Style_63" w:type="paragraph">
    <w:name w:val="page number"/>
    <w:link w:val="Style_63_ch"/>
  </w:style>
  <w:style w:styleId="Style_63_ch" w:type="character">
    <w:name w:val="page number"/>
    <w:link w:val="Style_63"/>
  </w:style>
  <w:style w:styleId="Style_64" w:type="paragraph">
    <w:name w:val="Обычный2"/>
    <w:link w:val="Style_64_ch"/>
    <w:pPr>
      <w:widowControl w:val="0"/>
      <w:spacing w:line="336" w:lineRule="auto"/>
      <w:ind w:hanging="360" w:left="1040"/>
      <w:jc w:val="both"/>
    </w:pPr>
  </w:style>
  <w:style w:styleId="Style_64_ch" w:type="character">
    <w:name w:val="Обычный2"/>
    <w:link w:val="Style_64"/>
  </w:style>
  <w:style w:styleId="Style_65" w:type="paragraph">
    <w:name w:val="Heading 3 Char"/>
    <w:link w:val="Style_65_ch"/>
    <w:rPr>
      <w:rFonts w:ascii="Cambria" w:hAnsi="Cambria"/>
      <w:b w:val="1"/>
      <w:sz w:val="26"/>
    </w:rPr>
  </w:style>
  <w:style w:styleId="Style_65_ch" w:type="character">
    <w:name w:val="Heading 3 Char"/>
    <w:link w:val="Style_65"/>
    <w:rPr>
      <w:rFonts w:ascii="Cambria" w:hAnsi="Cambria"/>
      <w:b w:val="1"/>
      <w:sz w:val="26"/>
    </w:rPr>
  </w:style>
  <w:style w:styleId="Style_66" w:type="paragraph">
    <w:name w:val="Style3"/>
    <w:basedOn w:val="Style_32"/>
    <w:next w:val="Style_32"/>
    <w:link w:val="Style_66_ch"/>
    <w:pPr>
      <w:tabs>
        <w:tab w:leader="none" w:pos="720" w:val="left"/>
      </w:tabs>
      <w:ind w:firstLine="567" w:left="0"/>
    </w:pPr>
  </w:style>
  <w:style w:styleId="Style_66_ch" w:type="character">
    <w:name w:val="Style3"/>
    <w:basedOn w:val="Style_32_ch"/>
    <w:link w:val="Style_66"/>
  </w:style>
  <w:style w:styleId="Style_67" w:type="paragraph">
    <w:name w:val="Стиль3 Знак"/>
    <w:basedOn w:val="Style_68"/>
    <w:link w:val="Style_67_ch"/>
    <w:pPr>
      <w:widowControl w:val="0"/>
      <w:tabs>
        <w:tab w:leader="none" w:pos="227" w:val="left"/>
        <w:tab w:leader="none" w:pos="720" w:val="clear"/>
      </w:tabs>
      <w:spacing w:before="0"/>
      <w:ind w:firstLine="0" w:left="0"/>
    </w:pPr>
  </w:style>
  <w:style w:styleId="Style_67_ch" w:type="character">
    <w:name w:val="Стиль3 Знак"/>
    <w:basedOn w:val="Style_68_ch"/>
    <w:link w:val="Style_67"/>
  </w:style>
  <w:style w:styleId="Style_69" w:type="paragraph">
    <w:name w:val="List Bullet 5"/>
    <w:basedOn w:val="Style_11"/>
    <w:link w:val="Style_69_ch"/>
    <w:pPr>
      <w:tabs>
        <w:tab w:leader="none" w:pos="1492" w:val="left"/>
      </w:tabs>
      <w:spacing w:after="60"/>
      <w:ind w:hanging="360" w:left="1492"/>
      <w:jc w:val="both"/>
    </w:pPr>
  </w:style>
  <w:style w:styleId="Style_69_ch" w:type="character">
    <w:name w:val="List Bullet 5"/>
    <w:basedOn w:val="Style_11_ch"/>
    <w:link w:val="Style_69"/>
  </w:style>
  <w:style w:styleId="Style_70" w:type="paragraph">
    <w:name w:val="Раздел 3"/>
    <w:basedOn w:val="Style_11"/>
    <w:link w:val="Style_70_ch"/>
    <w:pPr>
      <w:tabs>
        <w:tab w:leader="none" w:pos="432" w:val="left"/>
      </w:tabs>
      <w:spacing w:after="120" w:before="120"/>
      <w:ind w:hanging="432" w:left="432"/>
      <w:jc w:val="center"/>
    </w:pPr>
    <w:rPr>
      <w:b w:val="1"/>
    </w:rPr>
  </w:style>
  <w:style w:styleId="Style_70_ch" w:type="character">
    <w:name w:val="Раздел 3"/>
    <w:basedOn w:val="Style_11_ch"/>
    <w:link w:val="Style_70"/>
    <w:rPr>
      <w:b w:val="1"/>
    </w:rPr>
  </w:style>
  <w:style w:styleId="Style_71" w:type="paragraph">
    <w:name w:val="Знак Знак6"/>
    <w:link w:val="Style_71_ch"/>
    <w:rPr>
      <w:sz w:val="24"/>
    </w:rPr>
  </w:style>
  <w:style w:styleId="Style_71_ch" w:type="character">
    <w:name w:val="Знак Знак6"/>
    <w:link w:val="Style_71"/>
    <w:rPr>
      <w:sz w:val="24"/>
    </w:rPr>
  </w:style>
  <w:style w:styleId="Style_72" w:type="paragraph">
    <w:name w:val="HTML Preformatted"/>
    <w:basedOn w:val="Style_11"/>
    <w:link w:val="Style_72_ch"/>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pPr>
    <w:rPr>
      <w:rFonts w:ascii="Courier New" w:hAnsi="Courier New"/>
      <w:sz w:val="20"/>
    </w:rPr>
  </w:style>
  <w:style w:styleId="Style_72_ch" w:type="character">
    <w:name w:val="HTML Preformatted"/>
    <w:basedOn w:val="Style_11_ch"/>
    <w:link w:val="Style_72"/>
    <w:rPr>
      <w:rFonts w:ascii="Courier New" w:hAnsi="Courier New"/>
      <w:sz w:val="20"/>
    </w:rPr>
  </w:style>
  <w:style w:styleId="Style_73" w:type="paragraph">
    <w:name w:val="111"/>
    <w:basedOn w:val="Style_11"/>
    <w:link w:val="Style_73_ch"/>
    <w:rPr>
      <w:rFonts w:ascii="Times New Roman CYR" w:hAnsi="Times New Roman CYR"/>
      <w:sz w:val="20"/>
    </w:rPr>
  </w:style>
  <w:style w:styleId="Style_73_ch" w:type="character">
    <w:name w:val="111"/>
    <w:basedOn w:val="Style_11_ch"/>
    <w:link w:val="Style_73"/>
    <w:rPr>
      <w:rFonts w:ascii="Times New Roman CYR" w:hAnsi="Times New Roman CYR"/>
      <w:sz w:val="20"/>
    </w:rPr>
  </w:style>
  <w:style w:styleId="Style_74" w:type="paragraph">
    <w:name w:val="ConsNormal"/>
    <w:link w:val="Style_74_ch"/>
    <w:pPr>
      <w:ind w:firstLine="720" w:left="0" w:right="19772"/>
    </w:pPr>
    <w:rPr>
      <w:rFonts w:ascii="Arial" w:hAnsi="Arial"/>
    </w:rPr>
  </w:style>
  <w:style w:styleId="Style_74_ch" w:type="character">
    <w:name w:val="ConsNormal"/>
    <w:link w:val="Style_74"/>
    <w:rPr>
      <w:rFonts w:ascii="Arial" w:hAnsi="Arial"/>
    </w:rPr>
  </w:style>
  <w:style w:styleId="Style_75" w:type="paragraph">
    <w:name w:val="Основной текст с отступом 21"/>
    <w:basedOn w:val="Style_11"/>
    <w:link w:val="Style_75_ch"/>
    <w:pPr>
      <w:ind w:firstLine="567" w:left="0"/>
      <w:jc w:val="both"/>
    </w:pPr>
  </w:style>
  <w:style w:styleId="Style_75_ch" w:type="character">
    <w:name w:val="Основной текст с отступом 21"/>
    <w:basedOn w:val="Style_11_ch"/>
    <w:link w:val="Style_75"/>
  </w:style>
  <w:style w:styleId="Style_76" w:type="paragraph">
    <w:name w:val="Знак Знак10"/>
    <w:link w:val="Style_76_ch"/>
    <w:rPr>
      <w:rFonts w:ascii="Arial" w:hAnsi="Arial"/>
      <w:b w:val="1"/>
      <w:sz w:val="26"/>
    </w:rPr>
  </w:style>
  <w:style w:styleId="Style_76_ch" w:type="character">
    <w:name w:val="Знак Знак10"/>
    <w:link w:val="Style_76"/>
    <w:rPr>
      <w:rFonts w:ascii="Arial" w:hAnsi="Arial"/>
      <w:b w:val="1"/>
      <w:sz w:val="26"/>
    </w:rPr>
  </w:style>
  <w:style w:styleId="Style_77" w:type="paragraph">
    <w:name w:val="FR1"/>
    <w:link w:val="Style_77_ch"/>
    <w:pPr>
      <w:widowControl w:val="0"/>
      <w:ind w:firstLine="420" w:left="0"/>
    </w:pPr>
    <w:rPr>
      <w:rFonts w:ascii="Arial" w:hAnsi="Arial"/>
    </w:rPr>
  </w:style>
  <w:style w:styleId="Style_77_ch" w:type="character">
    <w:name w:val="FR1"/>
    <w:link w:val="Style_77"/>
    <w:rPr>
      <w:rFonts w:ascii="Arial" w:hAnsi="Arial"/>
    </w:rPr>
  </w:style>
  <w:style w:styleId="Style_78" w:type="paragraph">
    <w:name w:val="Body Text First Indent"/>
    <w:basedOn w:val="Style_49"/>
    <w:link w:val="Style_78_ch"/>
    <w:pPr>
      <w:spacing w:after="120"/>
      <w:ind w:firstLine="210" w:left="0"/>
      <w:jc w:val="left"/>
    </w:pPr>
    <w:rPr>
      <w:sz w:val="20"/>
    </w:rPr>
  </w:style>
  <w:style w:styleId="Style_78_ch" w:type="character">
    <w:name w:val="Body Text First Indent"/>
    <w:basedOn w:val="Style_49_ch"/>
    <w:link w:val="Style_78"/>
    <w:rPr>
      <w:sz w:val="20"/>
    </w:rPr>
  </w:style>
  <w:style w:styleId="Style_79" w:type="paragraph">
    <w:name w:val="toc 3"/>
    <w:next w:val="Style_11"/>
    <w:link w:val="Style_79_ch"/>
    <w:uiPriority w:val="39"/>
    <w:pPr>
      <w:ind w:firstLine="0" w:left="400"/>
      <w:jc w:val="left"/>
    </w:pPr>
    <w:rPr>
      <w:rFonts w:ascii="XO Thames" w:hAnsi="XO Thames"/>
      <w:sz w:val="28"/>
    </w:rPr>
  </w:style>
  <w:style w:styleId="Style_79_ch" w:type="character">
    <w:name w:val="toc 3"/>
    <w:link w:val="Style_79"/>
    <w:rPr>
      <w:rFonts w:ascii="XO Thames" w:hAnsi="XO Thames"/>
      <w:sz w:val="28"/>
    </w:rPr>
  </w:style>
  <w:style w:styleId="Style_55" w:type="paragraph">
    <w:name w:val="List Number 2"/>
    <w:basedOn w:val="Style_11"/>
    <w:link w:val="Style_55_ch"/>
    <w:pPr>
      <w:tabs>
        <w:tab w:leader="none" w:pos="360" w:val="left"/>
        <w:tab w:leader="none" w:pos="432" w:val="left"/>
      </w:tabs>
      <w:ind w:hanging="432" w:left="432"/>
    </w:pPr>
    <w:rPr>
      <w:sz w:val="20"/>
    </w:rPr>
  </w:style>
  <w:style w:styleId="Style_55_ch" w:type="character">
    <w:name w:val="List Number 2"/>
    <w:basedOn w:val="Style_11_ch"/>
    <w:link w:val="Style_55"/>
    <w:rPr>
      <w:sz w:val="20"/>
    </w:rPr>
  </w:style>
  <w:style w:styleId="Style_80" w:type="paragraph">
    <w:name w:val="Ãîòîâûé"/>
    <w:basedOn w:val="Style_11"/>
    <w:link w:val="Style_80_ch"/>
    <w:pPr>
      <w:widowControl w:val="0"/>
      <w:tabs>
        <w:tab w:leader="none" w:pos="0" w:val="left"/>
        <w:tab w:leader="none" w:pos="959" w:val="left"/>
        <w:tab w:leader="none" w:pos="1918" w:val="left"/>
        <w:tab w:leader="none" w:pos="2877" w:val="left"/>
        <w:tab w:leader="none" w:pos="3836" w:val="left"/>
        <w:tab w:leader="none" w:pos="4795" w:val="left"/>
        <w:tab w:leader="none" w:pos="5754" w:val="left"/>
        <w:tab w:leader="none" w:pos="6713" w:val="left"/>
        <w:tab w:leader="none" w:pos="7672" w:val="left"/>
        <w:tab w:leader="none" w:pos="8631" w:val="left"/>
        <w:tab w:leader="none" w:pos="9590" w:val="left"/>
      </w:tabs>
      <w:ind/>
    </w:pPr>
    <w:rPr>
      <w:rFonts w:ascii="Courier New" w:hAnsi="Courier New"/>
      <w:sz w:val="20"/>
    </w:rPr>
  </w:style>
  <w:style w:styleId="Style_80_ch" w:type="character">
    <w:name w:val="Ãîòîâûé"/>
    <w:basedOn w:val="Style_11_ch"/>
    <w:link w:val="Style_80"/>
    <w:rPr>
      <w:rFonts w:ascii="Courier New" w:hAnsi="Courier New"/>
      <w:sz w:val="20"/>
    </w:rPr>
  </w:style>
  <w:style w:styleId="Style_81" w:type="paragraph">
    <w:name w:val="index 1"/>
    <w:basedOn w:val="Style_11"/>
    <w:next w:val="Style_11"/>
    <w:link w:val="Style_81_ch"/>
    <w:pPr>
      <w:ind w:hanging="200" w:left="200"/>
    </w:pPr>
    <w:rPr>
      <w:sz w:val="20"/>
    </w:rPr>
  </w:style>
  <w:style w:styleId="Style_81_ch" w:type="character">
    <w:name w:val="index 1"/>
    <w:basedOn w:val="Style_11_ch"/>
    <w:link w:val="Style_81"/>
    <w:rPr>
      <w:sz w:val="20"/>
    </w:rPr>
  </w:style>
  <w:style w:styleId="Style_82" w:type="paragraph">
    <w:name w:val="Char Знак Знак"/>
    <w:basedOn w:val="Style_11"/>
    <w:link w:val="Style_82_ch"/>
    <w:pPr>
      <w:widowControl w:val="0"/>
      <w:spacing w:after="160" w:line="240" w:lineRule="exact"/>
      <w:ind/>
      <w:jc w:val="right"/>
    </w:pPr>
    <w:rPr>
      <w:rFonts w:ascii="Arial" w:hAnsi="Arial"/>
      <w:sz w:val="20"/>
    </w:rPr>
  </w:style>
  <w:style w:styleId="Style_82_ch" w:type="character">
    <w:name w:val="Char Знак Знак"/>
    <w:basedOn w:val="Style_11_ch"/>
    <w:link w:val="Style_82"/>
    <w:rPr>
      <w:rFonts w:ascii="Arial" w:hAnsi="Arial"/>
      <w:sz w:val="20"/>
    </w:rPr>
  </w:style>
  <w:style w:styleId="Style_83" w:type="paragraph">
    <w:name w:val="caption"/>
    <w:basedOn w:val="Style_11"/>
    <w:next w:val="Style_11"/>
    <w:link w:val="Style_83_ch"/>
    <w:pPr>
      <w:ind w:right="-6672"/>
      <w:jc w:val="both"/>
    </w:pPr>
    <w:rPr>
      <w:b w:val="1"/>
      <w:sz w:val="20"/>
    </w:rPr>
  </w:style>
  <w:style w:styleId="Style_83_ch" w:type="character">
    <w:name w:val="caption"/>
    <w:basedOn w:val="Style_11_ch"/>
    <w:link w:val="Style_83"/>
    <w:rPr>
      <w:b w:val="1"/>
      <w:sz w:val="20"/>
    </w:rPr>
  </w:style>
  <w:style w:styleId="Style_6" w:type="paragraph">
    <w:name w:val="List Paragraph"/>
    <w:basedOn w:val="Style_11"/>
    <w:link w:val="Style_6_ch"/>
    <w:pPr>
      <w:spacing w:after="200" w:line="276" w:lineRule="auto"/>
      <w:ind w:firstLine="0" w:left="720"/>
      <w:contextualSpacing w:val="1"/>
    </w:pPr>
    <w:rPr>
      <w:rFonts w:ascii="Calibri" w:hAnsi="Calibri"/>
      <w:sz w:val="22"/>
    </w:rPr>
  </w:style>
  <w:style w:styleId="Style_6_ch" w:type="character">
    <w:name w:val="List Paragraph"/>
    <w:basedOn w:val="Style_11_ch"/>
    <w:link w:val="Style_6"/>
    <w:rPr>
      <w:rFonts w:ascii="Calibri" w:hAnsi="Calibri"/>
      <w:sz w:val="22"/>
    </w:rPr>
  </w:style>
  <w:style w:styleId="Style_84" w:type="paragraph">
    <w:name w:val="Знак Знак2"/>
    <w:link w:val="Style_84_ch"/>
    <w:rPr>
      <w:sz w:val="24"/>
    </w:rPr>
  </w:style>
  <w:style w:styleId="Style_84_ch" w:type="character">
    <w:name w:val="Знак Знак2"/>
    <w:link w:val="Style_84"/>
    <w:rPr>
      <w:sz w:val="24"/>
    </w:rPr>
  </w:style>
  <w:style w:styleId="Style_85" w:type="paragraph">
    <w:name w:val="Body Text Indent Char1"/>
    <w:link w:val="Style_85_ch"/>
  </w:style>
  <w:style w:styleId="Style_85_ch" w:type="character">
    <w:name w:val="Body Text Indent Char1"/>
    <w:link w:val="Style_85"/>
  </w:style>
  <w:style w:styleId="Style_86" w:type="paragraph">
    <w:name w:val="ConsPlusTitle"/>
    <w:link w:val="Style_86_ch"/>
    <w:rPr>
      <w:b w:val="1"/>
      <w:sz w:val="24"/>
    </w:rPr>
  </w:style>
  <w:style w:styleId="Style_86_ch" w:type="character">
    <w:name w:val="ConsPlusTitle"/>
    <w:link w:val="Style_86"/>
    <w:rPr>
      <w:b w:val="1"/>
      <w:sz w:val="24"/>
    </w:rPr>
  </w:style>
  <w:style w:styleId="Style_87" w:type="paragraph">
    <w:name w:val="List Bullet 4"/>
    <w:basedOn w:val="Style_11"/>
    <w:link w:val="Style_87_ch"/>
    <w:pPr>
      <w:tabs>
        <w:tab w:leader="none" w:pos="1209" w:val="left"/>
      </w:tabs>
      <w:spacing w:after="60"/>
      <w:ind w:hanging="360" w:left="1209"/>
      <w:jc w:val="both"/>
    </w:pPr>
  </w:style>
  <w:style w:styleId="Style_87_ch" w:type="character">
    <w:name w:val="List Bullet 4"/>
    <w:basedOn w:val="Style_11_ch"/>
    <w:link w:val="Style_87"/>
  </w:style>
  <w:style w:styleId="Style_88" w:type="paragraph">
    <w:name w:val="heading 5"/>
    <w:basedOn w:val="Style_11"/>
    <w:next w:val="Style_11"/>
    <w:link w:val="Style_88_ch"/>
    <w:uiPriority w:val="9"/>
    <w:qFormat/>
    <w:pPr>
      <w:keepNext w:val="1"/>
      <w:ind/>
      <w:jc w:val="center"/>
      <w:outlineLvl w:val="4"/>
    </w:pPr>
    <w:rPr>
      <w:b w:val="1"/>
    </w:rPr>
  </w:style>
  <w:style w:styleId="Style_88_ch" w:type="character">
    <w:name w:val="heading 5"/>
    <w:basedOn w:val="Style_11_ch"/>
    <w:link w:val="Style_88"/>
    <w:rPr>
      <w:b w:val="1"/>
    </w:rPr>
  </w:style>
  <w:style w:styleId="Style_89" w:type="paragraph">
    <w:name w:val="Знак Знак3"/>
    <w:link w:val="Style_89_ch"/>
    <w:rPr>
      <w:b w:val="1"/>
      <w:i w:val="1"/>
      <w:sz w:val="28"/>
    </w:rPr>
  </w:style>
  <w:style w:styleId="Style_89_ch" w:type="character">
    <w:name w:val="Знак Знак3"/>
    <w:link w:val="Style_89"/>
    <w:rPr>
      <w:b w:val="1"/>
      <w:i w:val="1"/>
      <w:sz w:val="28"/>
    </w:rPr>
  </w:style>
  <w:style w:styleId="Style_90" w:type="paragraph">
    <w:name w:val="Balloon Text"/>
    <w:basedOn w:val="Style_11"/>
    <w:link w:val="Style_90_ch"/>
    <w:rPr>
      <w:rFonts w:ascii="Segoe UI" w:hAnsi="Segoe UI"/>
      <w:sz w:val="18"/>
    </w:rPr>
  </w:style>
  <w:style w:styleId="Style_90_ch" w:type="character">
    <w:name w:val="Balloon Text"/>
    <w:basedOn w:val="Style_11_ch"/>
    <w:link w:val="Style_90"/>
    <w:rPr>
      <w:rFonts w:ascii="Segoe UI" w:hAnsi="Segoe UI"/>
      <w:sz w:val="18"/>
    </w:rPr>
  </w:style>
  <w:style w:styleId="Style_91" w:type="paragraph">
    <w:name w:val="Note Heading"/>
    <w:basedOn w:val="Style_11"/>
    <w:next w:val="Style_11"/>
    <w:link w:val="Style_91_ch"/>
    <w:pPr>
      <w:spacing w:after="60"/>
      <w:ind/>
      <w:jc w:val="both"/>
    </w:pPr>
  </w:style>
  <w:style w:styleId="Style_91_ch" w:type="character">
    <w:name w:val="Note Heading"/>
    <w:basedOn w:val="Style_11_ch"/>
    <w:link w:val="Style_91"/>
  </w:style>
  <w:style w:styleId="Style_1" w:type="paragraph">
    <w:name w:val="header"/>
    <w:basedOn w:val="Style_11"/>
    <w:link w:val="Style_1_ch"/>
    <w:pPr>
      <w:tabs>
        <w:tab w:leader="none" w:pos="4677" w:val="center"/>
        <w:tab w:leader="none" w:pos="9355" w:val="right"/>
      </w:tabs>
      <w:ind/>
    </w:pPr>
  </w:style>
  <w:style w:styleId="Style_1_ch" w:type="character">
    <w:name w:val="header"/>
    <w:basedOn w:val="Style_11_ch"/>
    <w:link w:val="Style_1"/>
  </w:style>
  <w:style w:styleId="Style_92" w:type="paragraph">
    <w:name w:val="Абзац списка2"/>
    <w:basedOn w:val="Style_11"/>
    <w:link w:val="Style_92_ch"/>
    <w:pPr>
      <w:spacing w:after="200" w:line="276" w:lineRule="auto"/>
      <w:ind w:firstLine="0" w:left="720"/>
    </w:pPr>
    <w:rPr>
      <w:rFonts w:ascii="Calibri" w:hAnsi="Calibri"/>
      <w:sz w:val="22"/>
    </w:rPr>
  </w:style>
  <w:style w:styleId="Style_92_ch" w:type="character">
    <w:name w:val="Абзац списка2"/>
    <w:basedOn w:val="Style_11_ch"/>
    <w:link w:val="Style_92"/>
    <w:rPr>
      <w:rFonts w:ascii="Calibri" w:hAnsi="Calibri"/>
      <w:sz w:val="22"/>
    </w:rPr>
  </w:style>
  <w:style w:styleId="Style_93" w:type="paragraph">
    <w:name w:val="propvalue"/>
    <w:link w:val="Style_93_ch"/>
    <w:rPr>
      <w:color w:val="800000"/>
    </w:rPr>
  </w:style>
  <w:style w:styleId="Style_93_ch" w:type="character">
    <w:name w:val="propvalue"/>
    <w:link w:val="Style_93"/>
    <w:rPr>
      <w:color w:val="800000"/>
    </w:rPr>
  </w:style>
  <w:style w:styleId="Style_94" w:type="paragraph">
    <w:name w:val="heading 1"/>
    <w:basedOn w:val="Style_11"/>
    <w:next w:val="Style_11"/>
    <w:link w:val="Style_94_ch"/>
    <w:uiPriority w:val="9"/>
    <w:qFormat/>
    <w:pPr>
      <w:keepNext w:val="1"/>
      <w:spacing w:after="60" w:before="240"/>
      <w:ind/>
      <w:outlineLvl w:val="0"/>
    </w:pPr>
    <w:rPr>
      <w:rFonts w:ascii="Arial" w:hAnsi="Arial"/>
      <w:b w:val="1"/>
      <w:sz w:val="32"/>
    </w:rPr>
  </w:style>
  <w:style w:styleId="Style_94_ch" w:type="character">
    <w:name w:val="heading 1"/>
    <w:basedOn w:val="Style_11_ch"/>
    <w:link w:val="Style_94"/>
    <w:rPr>
      <w:rFonts w:ascii="Arial" w:hAnsi="Arial"/>
      <w:b w:val="1"/>
      <w:sz w:val="32"/>
    </w:rPr>
  </w:style>
  <w:style w:styleId="Style_95" w:type="paragraph">
    <w:name w:val="List Number 5"/>
    <w:basedOn w:val="Style_11"/>
    <w:link w:val="Style_95_ch"/>
    <w:pPr>
      <w:tabs>
        <w:tab w:leader="none" w:pos="1492" w:val="left"/>
      </w:tabs>
      <w:spacing w:after="60"/>
      <w:ind w:hanging="360" w:left="1492"/>
      <w:jc w:val="both"/>
    </w:pPr>
  </w:style>
  <w:style w:styleId="Style_95_ch" w:type="character">
    <w:name w:val="List Number 5"/>
    <w:basedOn w:val="Style_11_ch"/>
    <w:link w:val="Style_95"/>
  </w:style>
  <w:style w:styleId="Style_96" w:type="paragraph">
    <w:name w:val="Стиль1"/>
    <w:basedOn w:val="Style_11"/>
    <w:link w:val="Style_96_ch"/>
    <w:pPr>
      <w:keepNext w:val="1"/>
      <w:keepLines w:val="1"/>
      <w:widowControl w:val="0"/>
      <w:tabs>
        <w:tab w:leader="none" w:pos="432" w:val="left"/>
      </w:tabs>
      <w:spacing w:after="60"/>
      <w:ind w:hanging="432" w:left="432"/>
    </w:pPr>
    <w:rPr>
      <w:b w:val="1"/>
      <w:sz w:val="28"/>
    </w:rPr>
  </w:style>
  <w:style w:styleId="Style_96_ch" w:type="character">
    <w:name w:val="Стиль1"/>
    <w:basedOn w:val="Style_11_ch"/>
    <w:link w:val="Style_96"/>
    <w:rPr>
      <w:b w:val="1"/>
      <w:sz w:val="28"/>
    </w:rPr>
  </w:style>
  <w:style w:styleId="Style_10" w:type="paragraph">
    <w:name w:val="No Spacing"/>
    <w:basedOn w:val="Style_11"/>
    <w:link w:val="Style_10_ch"/>
    <w:rPr>
      <w:rFonts w:asciiTheme="minorAscii" w:hAnsiTheme="minorHAnsi"/>
      <w:sz w:val="22"/>
    </w:rPr>
  </w:style>
  <w:style w:styleId="Style_10_ch" w:type="character">
    <w:name w:val="No Spacing"/>
    <w:basedOn w:val="Style_11_ch"/>
    <w:link w:val="Style_10"/>
    <w:rPr>
      <w:rFonts w:asciiTheme="minorAscii" w:hAnsiTheme="minorHAnsi"/>
      <w:sz w:val="22"/>
    </w:rPr>
  </w:style>
  <w:style w:styleId="Style_97" w:type="paragraph">
    <w:name w:val="Знак Знак31"/>
    <w:link w:val="Style_97_ch"/>
    <w:rPr>
      <w:b w:val="1"/>
      <w:i w:val="1"/>
      <w:sz w:val="28"/>
    </w:rPr>
  </w:style>
  <w:style w:styleId="Style_97_ch" w:type="character">
    <w:name w:val="Знак Знак31"/>
    <w:link w:val="Style_97"/>
    <w:rPr>
      <w:b w:val="1"/>
      <w:i w:val="1"/>
      <w:sz w:val="28"/>
    </w:rPr>
  </w:style>
  <w:style w:styleId="Style_98" w:type="paragraph">
    <w:name w:val="Знак Знак5"/>
    <w:link w:val="Style_98_ch"/>
    <w:rPr>
      <w:sz w:val="24"/>
    </w:rPr>
  </w:style>
  <w:style w:styleId="Style_98_ch" w:type="character">
    <w:name w:val="Знак Знак5"/>
    <w:link w:val="Style_98"/>
    <w:rPr>
      <w:sz w:val="24"/>
    </w:rPr>
  </w:style>
  <w:style w:styleId="Style_99" w:type="paragraph">
    <w:name w:val="bulletin"/>
    <w:basedOn w:val="Style_68"/>
    <w:link w:val="Style_99_ch"/>
    <w:pPr>
      <w:tabs>
        <w:tab w:leader="none" w:pos="720" w:val="clear"/>
      </w:tabs>
      <w:spacing w:before="0"/>
      <w:ind w:firstLine="0" w:left="0"/>
      <w:jc w:val="left"/>
    </w:pPr>
    <w:rPr>
      <w:sz w:val="22"/>
    </w:rPr>
  </w:style>
  <w:style w:styleId="Style_99_ch" w:type="character">
    <w:name w:val="bulletin"/>
    <w:basedOn w:val="Style_68_ch"/>
    <w:link w:val="Style_99"/>
    <w:rPr>
      <w:sz w:val="22"/>
    </w:rPr>
  </w:style>
  <w:style w:styleId="Style_100" w:type="paragraph">
    <w:name w:val="Hyperlink"/>
    <w:link w:val="Style_100_ch"/>
    <w:rPr>
      <w:color w:val="0000FF"/>
      <w:u w:val="single"/>
    </w:rPr>
  </w:style>
  <w:style w:styleId="Style_100_ch" w:type="character">
    <w:name w:val="Hyperlink"/>
    <w:link w:val="Style_100"/>
    <w:rPr>
      <w:color w:val="0000FF"/>
      <w:u w:val="single"/>
    </w:rPr>
  </w:style>
  <w:style w:styleId="Style_101" w:type="paragraph">
    <w:name w:val="Footnote"/>
    <w:basedOn w:val="Style_11"/>
    <w:link w:val="Style_101_ch"/>
    <w:pPr>
      <w:spacing w:after="60"/>
      <w:ind/>
      <w:jc w:val="both"/>
    </w:pPr>
    <w:rPr>
      <w:sz w:val="20"/>
    </w:rPr>
  </w:style>
  <w:style w:styleId="Style_101_ch" w:type="character">
    <w:name w:val="Footnote"/>
    <w:basedOn w:val="Style_11_ch"/>
    <w:link w:val="Style_101"/>
    <w:rPr>
      <w:sz w:val="20"/>
    </w:rPr>
  </w:style>
  <w:style w:styleId="Style_102" w:type="paragraph">
    <w:name w:val="heading 8"/>
    <w:basedOn w:val="Style_11"/>
    <w:next w:val="Style_11"/>
    <w:link w:val="Style_102_ch"/>
    <w:uiPriority w:val="9"/>
    <w:qFormat/>
    <w:pPr>
      <w:keepNext w:val="1"/>
      <w:ind w:firstLine="0" w:left="-108" w:right="-108"/>
      <w:jc w:val="center"/>
      <w:outlineLvl w:val="7"/>
    </w:pPr>
    <w:rPr>
      <w:rFonts w:ascii="Calibri" w:hAnsi="Calibri"/>
      <w:i w:val="1"/>
    </w:rPr>
  </w:style>
  <w:style w:styleId="Style_102_ch" w:type="character">
    <w:name w:val="heading 8"/>
    <w:basedOn w:val="Style_11_ch"/>
    <w:link w:val="Style_102"/>
    <w:rPr>
      <w:rFonts w:ascii="Calibri" w:hAnsi="Calibri"/>
      <w:i w:val="1"/>
    </w:rPr>
  </w:style>
  <w:style w:styleId="Style_103" w:type="paragraph">
    <w:name w:val="Абзац списка1"/>
    <w:basedOn w:val="Style_11"/>
    <w:link w:val="Style_103_ch"/>
    <w:pPr>
      <w:ind w:firstLine="0" w:left="720"/>
    </w:pPr>
  </w:style>
  <w:style w:styleId="Style_103_ch" w:type="character">
    <w:name w:val="Абзац списка1"/>
    <w:basedOn w:val="Style_11_ch"/>
    <w:link w:val="Style_103"/>
  </w:style>
  <w:style w:styleId="Style_104" w:type="paragraph">
    <w:name w:val="toc 1"/>
    <w:basedOn w:val="Style_11"/>
    <w:next w:val="Style_11"/>
    <w:link w:val="Style_104_ch"/>
    <w:uiPriority w:val="39"/>
    <w:pPr>
      <w:tabs>
        <w:tab w:leader="none" w:pos="1134" w:val="left"/>
        <w:tab w:leader="dot" w:pos="9627" w:val="right"/>
      </w:tabs>
      <w:ind/>
    </w:pPr>
    <w:rPr>
      <w:b w:val="1"/>
      <w:caps w:val="1"/>
      <w:sz w:val="20"/>
    </w:rPr>
  </w:style>
  <w:style w:styleId="Style_104_ch" w:type="character">
    <w:name w:val="toc 1"/>
    <w:basedOn w:val="Style_11_ch"/>
    <w:link w:val="Style_104"/>
    <w:rPr>
      <w:b w:val="1"/>
      <w:caps w:val="1"/>
      <w:sz w:val="20"/>
    </w:rPr>
  </w:style>
  <w:style w:styleId="Style_105" w:type="paragraph">
    <w:name w:val="Знак Знак11"/>
    <w:link w:val="Style_105_ch"/>
    <w:rPr>
      <w:rFonts w:ascii="Arial" w:hAnsi="Arial"/>
      <w:b w:val="1"/>
      <w:i w:val="1"/>
      <w:sz w:val="28"/>
    </w:rPr>
  </w:style>
  <w:style w:styleId="Style_105_ch" w:type="character">
    <w:name w:val="Знак Знак11"/>
    <w:link w:val="Style_105"/>
    <w:rPr>
      <w:rFonts w:ascii="Arial" w:hAnsi="Arial"/>
      <w:b w:val="1"/>
      <w:i w:val="1"/>
      <w:sz w:val="28"/>
    </w:rPr>
  </w:style>
  <w:style w:styleId="Style_106" w:type="paragraph">
    <w:name w:val="Гиперссылка1"/>
    <w:basedOn w:val="Style_20"/>
    <w:link w:val="Style_106_ch"/>
    <w:rPr>
      <w:color w:val="0000FF"/>
      <w:u w:val="single"/>
    </w:rPr>
  </w:style>
  <w:style w:styleId="Style_106_ch" w:type="character">
    <w:name w:val="Гиперссылка1"/>
    <w:basedOn w:val="Style_20_ch"/>
    <w:link w:val="Style_106"/>
    <w:rPr>
      <w:color w:val="0000FF"/>
      <w:u w:val="single"/>
    </w:rPr>
  </w:style>
  <w:style w:styleId="Style_107" w:type="paragraph">
    <w:name w:val="Strong"/>
    <w:link w:val="Style_107_ch"/>
    <w:rPr>
      <w:b w:val="1"/>
    </w:rPr>
  </w:style>
  <w:style w:styleId="Style_107_ch" w:type="character">
    <w:name w:val="Strong"/>
    <w:link w:val="Style_107"/>
    <w:rPr>
      <w:b w:val="1"/>
    </w:rPr>
  </w:style>
  <w:style w:styleId="Style_108" w:type="paragraph">
    <w:name w:val="Обычный.Нормальный абзац"/>
    <w:link w:val="Style_108_ch"/>
    <w:pPr>
      <w:widowControl w:val="0"/>
      <w:ind w:firstLine="709" w:left="0"/>
      <w:jc w:val="both"/>
    </w:pPr>
    <w:rPr>
      <w:sz w:val="24"/>
    </w:rPr>
  </w:style>
  <w:style w:styleId="Style_108_ch" w:type="character">
    <w:name w:val="Обычный.Нормальный абзац"/>
    <w:link w:val="Style_108"/>
    <w:rPr>
      <w:sz w:val="24"/>
    </w:rPr>
  </w:style>
  <w:style w:styleId="Style_109" w:type="paragraph">
    <w:name w:val="Header and Footer"/>
    <w:link w:val="Style_109_ch"/>
    <w:pPr>
      <w:spacing w:line="240" w:lineRule="auto"/>
      <w:ind/>
      <w:jc w:val="both"/>
    </w:pPr>
    <w:rPr>
      <w:rFonts w:ascii="XO Thames" w:hAnsi="XO Thames"/>
      <w:sz w:val="28"/>
    </w:rPr>
  </w:style>
  <w:style w:styleId="Style_109_ch" w:type="character">
    <w:name w:val="Header and Footer"/>
    <w:link w:val="Style_109"/>
    <w:rPr>
      <w:rFonts w:ascii="XO Thames" w:hAnsi="XO Thames"/>
      <w:sz w:val="28"/>
    </w:rPr>
  </w:style>
  <w:style w:styleId="Style_110" w:type="paragraph">
    <w:name w:val="Знак2 Знак Знак1"/>
    <w:link w:val="Style_110_ch"/>
    <w:rPr>
      <w:sz w:val="24"/>
    </w:rPr>
  </w:style>
  <w:style w:styleId="Style_110_ch" w:type="character">
    <w:name w:val="Знак2 Знак Знак1"/>
    <w:link w:val="Style_110"/>
    <w:rPr>
      <w:sz w:val="24"/>
    </w:rPr>
  </w:style>
  <w:style w:styleId="Style_111" w:type="paragraph">
    <w:name w:val="ConsPlusNonformat"/>
    <w:link w:val="Style_111_ch"/>
    <w:rPr>
      <w:rFonts w:ascii="Courier New" w:hAnsi="Courier New"/>
    </w:rPr>
  </w:style>
  <w:style w:styleId="Style_111_ch" w:type="character">
    <w:name w:val="ConsPlusNonformat"/>
    <w:link w:val="Style_111"/>
    <w:rPr>
      <w:rFonts w:ascii="Courier New" w:hAnsi="Courier New"/>
    </w:rPr>
  </w:style>
  <w:style w:styleId="Style_112" w:type="paragraph">
    <w:name w:val="List Number 3"/>
    <w:basedOn w:val="Style_11"/>
    <w:link w:val="Style_112_ch"/>
    <w:pPr>
      <w:tabs>
        <w:tab w:leader="none" w:pos="926" w:val="left"/>
      </w:tabs>
      <w:spacing w:after="60"/>
      <w:ind w:hanging="360" w:left="926"/>
      <w:jc w:val="both"/>
    </w:pPr>
  </w:style>
  <w:style w:styleId="Style_112_ch" w:type="character">
    <w:name w:val="List Number 3"/>
    <w:basedOn w:val="Style_11_ch"/>
    <w:link w:val="Style_112"/>
  </w:style>
  <w:style w:styleId="Style_4" w:type="paragraph">
    <w:name w:val="Body Text Indent"/>
    <w:basedOn w:val="Style_11"/>
    <w:link w:val="Style_4_ch"/>
    <w:pPr>
      <w:numPr>
        <w:ilvl w:val="2"/>
      </w:numPr>
      <w:tabs>
        <w:tab w:leader="none" w:pos="0" w:val="left"/>
        <w:tab w:leader="none" w:pos="1080" w:val="left"/>
      </w:tabs>
      <w:ind w:firstLine="709" w:left="0"/>
      <w:jc w:val="both"/>
    </w:pPr>
  </w:style>
  <w:style w:styleId="Style_4_ch" w:type="character">
    <w:name w:val="Body Text Indent"/>
    <w:basedOn w:val="Style_11_ch"/>
    <w:link w:val="Style_4"/>
  </w:style>
  <w:style w:styleId="Style_113" w:type="paragraph">
    <w:name w:val="ConsPlusCell"/>
    <w:link w:val="Style_113_ch"/>
    <w:rPr>
      <w:rFonts w:ascii="Arial" w:hAnsi="Arial"/>
    </w:rPr>
  </w:style>
  <w:style w:styleId="Style_113_ch" w:type="character">
    <w:name w:val="ConsPlusCell"/>
    <w:link w:val="Style_113"/>
    <w:rPr>
      <w:rFonts w:ascii="Arial" w:hAnsi="Arial"/>
    </w:rPr>
  </w:style>
  <w:style w:styleId="Style_114" w:type="paragraph">
    <w:name w:val="toc 9"/>
    <w:next w:val="Style_11"/>
    <w:link w:val="Style_114_ch"/>
    <w:uiPriority w:val="39"/>
    <w:pPr>
      <w:ind w:firstLine="0" w:left="1600"/>
      <w:jc w:val="left"/>
    </w:pPr>
    <w:rPr>
      <w:rFonts w:ascii="XO Thames" w:hAnsi="XO Thames"/>
      <w:sz w:val="28"/>
    </w:rPr>
  </w:style>
  <w:style w:styleId="Style_114_ch" w:type="character">
    <w:name w:val="toc 9"/>
    <w:link w:val="Style_114"/>
    <w:rPr>
      <w:rFonts w:ascii="XO Thames" w:hAnsi="XO Thames"/>
      <w:sz w:val="28"/>
    </w:rPr>
  </w:style>
  <w:style w:styleId="Style_115" w:type="paragraph">
    <w:name w:val="font5"/>
    <w:basedOn w:val="Style_11"/>
    <w:link w:val="Style_115_ch"/>
    <w:pPr>
      <w:spacing w:afterAutospacing="on" w:beforeAutospacing="on"/>
      <w:ind/>
    </w:pPr>
    <w:rPr>
      <w:rFonts w:ascii="Arial CYR" w:hAnsi="Arial CYR"/>
      <w:sz w:val="18"/>
    </w:rPr>
  </w:style>
  <w:style w:styleId="Style_115_ch" w:type="character">
    <w:name w:val="font5"/>
    <w:basedOn w:val="Style_11_ch"/>
    <w:link w:val="Style_115"/>
    <w:rPr>
      <w:rFonts w:ascii="Arial CYR" w:hAnsi="Arial CYR"/>
      <w:sz w:val="18"/>
    </w:rPr>
  </w:style>
  <w:style w:styleId="Style_116" w:type="paragraph">
    <w:name w:val="List Bullet 2"/>
    <w:basedOn w:val="Style_11"/>
    <w:link w:val="Style_116_ch"/>
    <w:pPr>
      <w:tabs>
        <w:tab w:leader="none" w:pos="643" w:val="left"/>
      </w:tabs>
      <w:spacing w:after="60"/>
      <w:ind w:hanging="360" w:left="643"/>
      <w:jc w:val="both"/>
    </w:pPr>
  </w:style>
  <w:style w:styleId="Style_116_ch" w:type="character">
    <w:name w:val="List Bullet 2"/>
    <w:basedOn w:val="Style_11_ch"/>
    <w:link w:val="Style_116"/>
  </w:style>
  <w:style w:styleId="Style_117" w:type="paragraph">
    <w:name w:val="Стиль3"/>
    <w:basedOn w:val="Style_68"/>
    <w:link w:val="Style_117_ch"/>
    <w:pPr>
      <w:widowControl w:val="0"/>
      <w:tabs>
        <w:tab w:leader="none" w:pos="643" w:val="left"/>
        <w:tab w:leader="none" w:pos="720" w:val="clear"/>
      </w:tabs>
      <w:spacing w:before="0"/>
      <w:ind w:hanging="360" w:left="643"/>
    </w:pPr>
  </w:style>
  <w:style w:styleId="Style_117_ch" w:type="character">
    <w:name w:val="Стиль3"/>
    <w:basedOn w:val="Style_68_ch"/>
    <w:link w:val="Style_117"/>
  </w:style>
  <w:style w:styleId="Style_118" w:type="paragraph">
    <w:name w:val="Знак Знак Знак Знак"/>
    <w:basedOn w:val="Style_11"/>
    <w:link w:val="Style_118_ch"/>
    <w:pPr>
      <w:spacing w:afterAutospacing="on" w:beforeAutospacing="on"/>
      <w:ind/>
    </w:pPr>
    <w:rPr>
      <w:rFonts w:ascii="Tahoma" w:hAnsi="Tahoma"/>
      <w:sz w:val="20"/>
    </w:rPr>
  </w:style>
  <w:style w:styleId="Style_118_ch" w:type="character">
    <w:name w:val="Знак Знак Знак Знак"/>
    <w:basedOn w:val="Style_11_ch"/>
    <w:link w:val="Style_118"/>
    <w:rPr>
      <w:rFonts w:ascii="Tahoma" w:hAnsi="Tahoma"/>
      <w:sz w:val="20"/>
    </w:rPr>
  </w:style>
  <w:style w:styleId="Style_119" w:type="paragraph">
    <w:name w:val="Знак Знак"/>
    <w:link w:val="Style_119_ch"/>
    <w:rPr>
      <w:b w:val="1"/>
      <w:i w:val="1"/>
      <w:sz w:val="28"/>
    </w:rPr>
  </w:style>
  <w:style w:styleId="Style_119_ch" w:type="character">
    <w:name w:val="Знак Знак"/>
    <w:link w:val="Style_119"/>
    <w:rPr>
      <w:b w:val="1"/>
      <w:i w:val="1"/>
      <w:sz w:val="28"/>
    </w:rPr>
  </w:style>
  <w:style w:styleId="Style_120" w:type="paragraph">
    <w:name w:val="toc 8"/>
    <w:next w:val="Style_11"/>
    <w:link w:val="Style_120_ch"/>
    <w:uiPriority w:val="39"/>
    <w:pPr>
      <w:ind w:firstLine="0" w:left="1400"/>
      <w:jc w:val="left"/>
    </w:pPr>
    <w:rPr>
      <w:rFonts w:ascii="XO Thames" w:hAnsi="XO Thames"/>
      <w:sz w:val="28"/>
    </w:rPr>
  </w:style>
  <w:style w:styleId="Style_120_ch" w:type="character">
    <w:name w:val="toc 8"/>
    <w:link w:val="Style_120"/>
    <w:rPr>
      <w:rFonts w:ascii="XO Thames" w:hAnsi="XO Thames"/>
      <w:sz w:val="28"/>
    </w:rPr>
  </w:style>
  <w:style w:styleId="Style_121" w:type="paragraph">
    <w:name w:val="Body Text First Indent 2"/>
    <w:basedOn w:val="Style_4"/>
    <w:link w:val="Style_121_ch"/>
    <w:pPr>
      <w:numPr>
        <w:ilvl w:val="0"/>
      </w:numPr>
      <w:tabs>
        <w:tab w:leader="none" w:pos="0" w:val="left"/>
        <w:tab w:leader="none" w:pos="1080" w:val="clear"/>
      </w:tabs>
      <w:spacing w:after="120"/>
      <w:ind w:firstLine="210" w:left="283"/>
      <w:jc w:val="left"/>
    </w:pPr>
    <w:rPr>
      <w:sz w:val="20"/>
    </w:rPr>
  </w:style>
  <w:style w:styleId="Style_121_ch" w:type="character">
    <w:name w:val="Body Text First Indent 2"/>
    <w:basedOn w:val="Style_4_ch"/>
    <w:link w:val="Style_121"/>
    <w:rPr>
      <w:sz w:val="20"/>
    </w:rPr>
  </w:style>
  <w:style w:styleId="Style_122" w:type="paragraph">
    <w:name w:val="Готовый"/>
    <w:basedOn w:val="Style_11"/>
    <w:link w:val="Style_122_ch"/>
    <w:pPr>
      <w:widowControl w:val="0"/>
      <w:tabs>
        <w:tab w:leader="none" w:pos="0" w:val="left"/>
        <w:tab w:leader="none" w:pos="959" w:val="left"/>
        <w:tab w:leader="none" w:pos="1918" w:val="left"/>
        <w:tab w:leader="none" w:pos="2877" w:val="left"/>
        <w:tab w:leader="none" w:pos="3836" w:val="left"/>
        <w:tab w:leader="none" w:pos="4795" w:val="left"/>
        <w:tab w:leader="none" w:pos="5754" w:val="left"/>
        <w:tab w:leader="none" w:pos="6713" w:val="left"/>
        <w:tab w:leader="none" w:pos="7672" w:val="left"/>
        <w:tab w:leader="none" w:pos="8631" w:val="left"/>
        <w:tab w:leader="none" w:pos="9590" w:val="left"/>
      </w:tabs>
      <w:ind/>
    </w:pPr>
    <w:rPr>
      <w:rFonts w:ascii="Courier New" w:hAnsi="Courier New"/>
      <w:sz w:val="20"/>
    </w:rPr>
  </w:style>
  <w:style w:styleId="Style_122_ch" w:type="character">
    <w:name w:val="Готовый"/>
    <w:basedOn w:val="Style_11_ch"/>
    <w:link w:val="Style_122"/>
    <w:rPr>
      <w:rFonts w:ascii="Courier New" w:hAnsi="Courier New"/>
      <w:sz w:val="20"/>
    </w:rPr>
  </w:style>
  <w:style w:styleId="Style_123" w:type="paragraph">
    <w:name w:val="List Bullet 3"/>
    <w:basedOn w:val="Style_11"/>
    <w:link w:val="Style_123_ch"/>
    <w:pPr>
      <w:tabs>
        <w:tab w:leader="none" w:pos="926" w:val="left"/>
      </w:tabs>
      <w:spacing w:after="60"/>
      <w:ind w:hanging="360" w:left="926"/>
      <w:jc w:val="both"/>
    </w:pPr>
  </w:style>
  <w:style w:styleId="Style_123_ch" w:type="character">
    <w:name w:val="List Bullet 3"/>
    <w:basedOn w:val="Style_11_ch"/>
    <w:link w:val="Style_123"/>
  </w:style>
  <w:style w:styleId="Style_124" w:type="paragraph">
    <w:name w:val="Обычный1"/>
    <w:link w:val="Style_124_ch"/>
    <w:pPr>
      <w:widowControl w:val="0"/>
      <w:ind w:firstLine="720" w:left="0"/>
      <w:jc w:val="both"/>
    </w:pPr>
    <w:rPr>
      <w:sz w:val="24"/>
    </w:rPr>
  </w:style>
  <w:style w:styleId="Style_124_ch" w:type="character">
    <w:name w:val="Обычный1"/>
    <w:link w:val="Style_124"/>
    <w:rPr>
      <w:sz w:val="24"/>
    </w:rPr>
  </w:style>
  <w:style w:styleId="Style_125" w:type="paragraph">
    <w:name w:val="nobr"/>
    <w:link w:val="Style_125_ch"/>
  </w:style>
  <w:style w:styleId="Style_125_ch" w:type="character">
    <w:name w:val="nobr"/>
    <w:link w:val="Style_125"/>
  </w:style>
  <w:style w:styleId="Style_2" w:type="paragraph">
    <w:name w:val="footer"/>
    <w:basedOn w:val="Style_11"/>
    <w:link w:val="Style_2_ch"/>
    <w:pPr>
      <w:tabs>
        <w:tab w:leader="none" w:pos="4677" w:val="center"/>
        <w:tab w:leader="none" w:pos="9355" w:val="right"/>
      </w:tabs>
      <w:ind/>
    </w:pPr>
  </w:style>
  <w:style w:styleId="Style_2_ch" w:type="character">
    <w:name w:val="footer"/>
    <w:basedOn w:val="Style_11_ch"/>
    <w:link w:val="Style_2"/>
  </w:style>
  <w:style w:styleId="Style_126" w:type="paragraph">
    <w:name w:val="Header Char"/>
    <w:link w:val="Style_126_ch"/>
    <w:rPr>
      <w:sz w:val="24"/>
    </w:rPr>
  </w:style>
  <w:style w:styleId="Style_126_ch" w:type="character">
    <w:name w:val="Header Char"/>
    <w:link w:val="Style_126"/>
    <w:rPr>
      <w:sz w:val="24"/>
    </w:rPr>
  </w:style>
  <w:style w:styleId="Style_3" w:type="paragraph">
    <w:name w:val="Body Text 2"/>
    <w:basedOn w:val="Style_11"/>
    <w:link w:val="Style_3_ch"/>
  </w:style>
  <w:style w:styleId="Style_3_ch" w:type="character">
    <w:name w:val="Body Text 2"/>
    <w:basedOn w:val="Style_11_ch"/>
    <w:link w:val="Style_3"/>
  </w:style>
  <w:style w:styleId="Style_127" w:type="paragraph">
    <w:name w:val="МП"/>
    <w:basedOn w:val="Style_11"/>
    <w:link w:val="Style_127_ch"/>
    <w:pPr>
      <w:spacing w:after="120"/>
      <w:ind/>
      <w:jc w:val="center"/>
    </w:pPr>
    <w:rPr>
      <w:rFonts w:ascii="Arial" w:hAnsi="Arial"/>
      <w:b w:val="1"/>
    </w:rPr>
  </w:style>
  <w:style w:styleId="Style_127_ch" w:type="character">
    <w:name w:val="МП"/>
    <w:basedOn w:val="Style_11_ch"/>
    <w:link w:val="Style_127"/>
    <w:rPr>
      <w:rFonts w:ascii="Arial" w:hAnsi="Arial"/>
      <w:b w:val="1"/>
    </w:rPr>
  </w:style>
  <w:style w:styleId="Style_128" w:type="paragraph">
    <w:name w:val="Normal (Web)"/>
    <w:basedOn w:val="Style_11"/>
    <w:link w:val="Style_128_ch"/>
    <w:pPr>
      <w:spacing w:afterAutospacing="on" w:beforeAutospacing="on"/>
      <w:ind/>
    </w:pPr>
  </w:style>
  <w:style w:styleId="Style_128_ch" w:type="character">
    <w:name w:val="Normal (Web)"/>
    <w:basedOn w:val="Style_11_ch"/>
    <w:link w:val="Style_128"/>
  </w:style>
  <w:style w:styleId="Style_129" w:type="paragraph">
    <w:name w:val="Условия контракта"/>
    <w:basedOn w:val="Style_11"/>
    <w:link w:val="Style_129_ch"/>
    <w:pPr>
      <w:tabs>
        <w:tab w:leader="none" w:pos="567" w:val="left"/>
      </w:tabs>
      <w:spacing w:after="120" w:before="240"/>
      <w:ind w:hanging="567" w:left="567"/>
      <w:jc w:val="both"/>
    </w:pPr>
    <w:rPr>
      <w:b w:val="1"/>
    </w:rPr>
  </w:style>
  <w:style w:styleId="Style_129_ch" w:type="character">
    <w:name w:val="Условия контракта"/>
    <w:basedOn w:val="Style_11_ch"/>
    <w:link w:val="Style_129"/>
    <w:rPr>
      <w:b w:val="1"/>
    </w:rPr>
  </w:style>
  <w:style w:styleId="Style_130" w:type="paragraph">
    <w:name w:val="Знак Знак12"/>
    <w:link w:val="Style_130_ch"/>
    <w:rPr>
      <w:rFonts w:ascii="Arial" w:hAnsi="Arial"/>
      <w:b w:val="1"/>
      <w:sz w:val="32"/>
    </w:rPr>
  </w:style>
  <w:style w:styleId="Style_130_ch" w:type="character">
    <w:name w:val="Знак Знак12"/>
    <w:link w:val="Style_130"/>
    <w:rPr>
      <w:rFonts w:ascii="Arial" w:hAnsi="Arial"/>
      <w:b w:val="1"/>
      <w:sz w:val="32"/>
    </w:rPr>
  </w:style>
  <w:style w:styleId="Style_131" w:type="paragraph">
    <w:name w:val="toc 5"/>
    <w:next w:val="Style_11"/>
    <w:link w:val="Style_131_ch"/>
    <w:uiPriority w:val="39"/>
    <w:pPr>
      <w:ind w:firstLine="0" w:left="800"/>
      <w:jc w:val="left"/>
    </w:pPr>
    <w:rPr>
      <w:rFonts w:ascii="XO Thames" w:hAnsi="XO Thames"/>
      <w:sz w:val="28"/>
    </w:rPr>
  </w:style>
  <w:style w:styleId="Style_131_ch" w:type="character">
    <w:name w:val="toc 5"/>
    <w:link w:val="Style_131"/>
    <w:rPr>
      <w:rFonts w:ascii="XO Thames" w:hAnsi="XO Thames"/>
      <w:sz w:val="28"/>
    </w:rPr>
  </w:style>
  <w:style w:styleId="Style_132" w:type="paragraph">
    <w:name w:val="Body Text Indent 3"/>
    <w:basedOn w:val="Style_11"/>
    <w:link w:val="Style_132_ch"/>
    <w:pPr>
      <w:tabs>
        <w:tab w:leader="none" w:pos="1260" w:val="left"/>
      </w:tabs>
      <w:ind w:firstLine="720" w:left="0"/>
      <w:jc w:val="both"/>
    </w:pPr>
  </w:style>
  <w:style w:styleId="Style_132_ch" w:type="character">
    <w:name w:val="Body Text Indent 3"/>
    <w:basedOn w:val="Style_11_ch"/>
    <w:link w:val="Style_132"/>
  </w:style>
  <w:style w:styleId="Style_133" w:type="paragraph">
    <w:name w:val="span_header_lot_21"/>
    <w:link w:val="Style_133_ch"/>
    <w:rPr>
      <w:b w:val="1"/>
      <w:sz w:val="20"/>
    </w:rPr>
  </w:style>
  <w:style w:styleId="Style_133_ch" w:type="character">
    <w:name w:val="span_header_lot_21"/>
    <w:link w:val="Style_133"/>
    <w:rPr>
      <w:b w:val="1"/>
      <w:sz w:val="20"/>
    </w:rPr>
  </w:style>
  <w:style w:styleId="Style_134" w:type="paragraph">
    <w:name w:val="List Number"/>
    <w:basedOn w:val="Style_11"/>
    <w:link w:val="Style_134_ch"/>
    <w:pPr>
      <w:tabs>
        <w:tab w:leader="none" w:pos="360" w:val="left"/>
      </w:tabs>
      <w:spacing w:after="60"/>
      <w:ind w:hanging="360" w:left="360"/>
      <w:jc w:val="both"/>
    </w:pPr>
  </w:style>
  <w:style w:styleId="Style_134_ch" w:type="character">
    <w:name w:val="List Number"/>
    <w:basedOn w:val="Style_11_ch"/>
    <w:link w:val="Style_134"/>
  </w:style>
  <w:style w:styleId="Style_135" w:type="paragraph">
    <w:name w:val="Instruction"/>
    <w:basedOn w:val="Style_3"/>
    <w:link w:val="Style_135_ch"/>
    <w:pPr>
      <w:tabs>
        <w:tab w:leader="none" w:pos="360" w:val="left"/>
      </w:tabs>
      <w:spacing w:after="60" w:before="180"/>
      <w:ind w:hanging="360" w:left="360"/>
      <w:jc w:val="both"/>
    </w:pPr>
    <w:rPr>
      <w:b w:val="1"/>
    </w:rPr>
  </w:style>
  <w:style w:styleId="Style_135_ch" w:type="character">
    <w:name w:val="Instruction"/>
    <w:basedOn w:val="Style_3_ch"/>
    <w:link w:val="Style_135"/>
    <w:rPr>
      <w:b w:val="1"/>
    </w:rPr>
  </w:style>
  <w:style w:styleId="Style_32" w:type="paragraph">
    <w:name w:val="Simlple"/>
    <w:basedOn w:val="Style_11"/>
    <w:link w:val="Style_32_ch"/>
    <w:pPr>
      <w:spacing w:after="60" w:before="60"/>
      <w:ind w:firstLine="284" w:left="0"/>
      <w:jc w:val="both"/>
    </w:pPr>
    <w:rPr>
      <w:rFonts w:ascii="Arial" w:hAnsi="Arial"/>
      <w:sz w:val="20"/>
    </w:rPr>
  </w:style>
  <w:style w:styleId="Style_32_ch" w:type="character">
    <w:name w:val="Simlple"/>
    <w:basedOn w:val="Style_11_ch"/>
    <w:link w:val="Style_32"/>
    <w:rPr>
      <w:rFonts w:ascii="Arial" w:hAnsi="Arial"/>
      <w:sz w:val="20"/>
    </w:rPr>
  </w:style>
  <w:style w:styleId="Style_136" w:type="paragraph">
    <w:name w:val="xl27"/>
    <w:basedOn w:val="Style_11"/>
    <w:link w:val="Style_136_ch"/>
    <w:pPr>
      <w:spacing w:afterAutospacing="on" w:beforeAutospacing="on"/>
      <w:ind/>
      <w:jc w:val="center"/>
    </w:pPr>
    <w:rPr>
      <w:b w:val="1"/>
    </w:rPr>
  </w:style>
  <w:style w:styleId="Style_136_ch" w:type="character">
    <w:name w:val="xl27"/>
    <w:basedOn w:val="Style_11_ch"/>
    <w:link w:val="Style_136"/>
    <w:rPr>
      <w:b w:val="1"/>
    </w:rPr>
  </w:style>
  <w:style w:styleId="Style_137" w:type="paragraph">
    <w:name w:val="Subtitle"/>
    <w:basedOn w:val="Style_11"/>
    <w:link w:val="Style_137_ch"/>
    <w:uiPriority w:val="11"/>
    <w:qFormat/>
    <w:pPr>
      <w:spacing w:after="60"/>
      <w:ind/>
      <w:jc w:val="center"/>
      <w:outlineLvl w:val="1"/>
    </w:pPr>
    <w:rPr>
      <w:rFonts w:ascii="Cambria" w:hAnsi="Cambria"/>
    </w:rPr>
  </w:style>
  <w:style w:styleId="Style_137_ch" w:type="character">
    <w:name w:val="Subtitle"/>
    <w:basedOn w:val="Style_11_ch"/>
    <w:link w:val="Style_137"/>
    <w:rPr>
      <w:rFonts w:ascii="Cambria" w:hAnsi="Cambria"/>
    </w:rPr>
  </w:style>
  <w:style w:styleId="Style_138" w:type="paragraph">
    <w:name w:val="Стиль3 Знак Знак"/>
    <w:basedOn w:val="Style_68"/>
    <w:link w:val="Style_138_ch"/>
    <w:pPr>
      <w:widowControl w:val="0"/>
      <w:tabs>
        <w:tab w:leader="none" w:pos="227" w:val="left"/>
        <w:tab w:leader="none" w:pos="720" w:val="clear"/>
      </w:tabs>
      <w:spacing w:before="0"/>
      <w:ind w:firstLine="0" w:left="0"/>
    </w:pPr>
  </w:style>
  <w:style w:styleId="Style_138_ch" w:type="character">
    <w:name w:val="Стиль3 Знак Знак"/>
    <w:basedOn w:val="Style_68_ch"/>
    <w:link w:val="Style_138"/>
  </w:style>
  <w:style w:styleId="Style_139" w:type="paragraph">
    <w:name w:val="desc2"/>
    <w:basedOn w:val="Style_11"/>
    <w:link w:val="Style_139_ch"/>
    <w:pPr>
      <w:spacing w:afterAutospacing="on" w:beforeAutospacing="on"/>
      <w:ind/>
    </w:pPr>
  </w:style>
  <w:style w:styleId="Style_139_ch" w:type="character">
    <w:name w:val="desc2"/>
    <w:basedOn w:val="Style_11_ch"/>
    <w:link w:val="Style_139"/>
  </w:style>
  <w:style w:styleId="Style_140" w:type="paragraph">
    <w:name w:val="Font Style46"/>
    <w:link w:val="Style_140_ch"/>
    <w:rPr>
      <w:rFonts w:ascii="Times New Roman" w:hAnsi="Times New Roman"/>
      <w:sz w:val="26"/>
    </w:rPr>
  </w:style>
  <w:style w:styleId="Style_140_ch" w:type="character">
    <w:name w:val="Font Style46"/>
    <w:link w:val="Style_140"/>
    <w:rPr>
      <w:rFonts w:ascii="Times New Roman" w:hAnsi="Times New Roman"/>
      <w:sz w:val="26"/>
    </w:rPr>
  </w:style>
  <w:style w:styleId="Style_141" w:type="paragraph">
    <w:name w:val="Title"/>
    <w:basedOn w:val="Style_11"/>
    <w:link w:val="Style_141_ch"/>
    <w:uiPriority w:val="10"/>
    <w:qFormat/>
    <w:pPr>
      <w:widowControl w:val="0"/>
      <w:ind/>
      <w:jc w:val="center"/>
    </w:pPr>
  </w:style>
  <w:style w:styleId="Style_141_ch" w:type="character">
    <w:name w:val="Title"/>
    <w:basedOn w:val="Style_11_ch"/>
    <w:link w:val="Style_141"/>
  </w:style>
  <w:style w:styleId="Style_142" w:type="paragraph">
    <w:name w:val="heading 4"/>
    <w:basedOn w:val="Style_11"/>
    <w:next w:val="Style_11"/>
    <w:link w:val="Style_142_ch"/>
    <w:uiPriority w:val="9"/>
    <w:qFormat/>
    <w:pPr>
      <w:keepNext w:val="1"/>
      <w:ind/>
      <w:jc w:val="center"/>
      <w:outlineLvl w:val="3"/>
    </w:pPr>
    <w:rPr>
      <w:rFonts w:ascii="Calibri" w:hAnsi="Calibri"/>
      <w:b w:val="1"/>
      <w:sz w:val="28"/>
    </w:rPr>
  </w:style>
  <w:style w:styleId="Style_142_ch" w:type="character">
    <w:name w:val="heading 4"/>
    <w:basedOn w:val="Style_11_ch"/>
    <w:link w:val="Style_142"/>
    <w:rPr>
      <w:rFonts w:ascii="Calibri" w:hAnsi="Calibri"/>
      <w:b w:val="1"/>
      <w:sz w:val="28"/>
    </w:rPr>
  </w:style>
  <w:style w:styleId="Style_143" w:type="paragraph">
    <w:name w:val="Знак Знак7"/>
    <w:link w:val="Style_143_ch"/>
    <w:rPr>
      <w:b w:val="1"/>
      <w:i w:val="1"/>
      <w:sz w:val="24"/>
    </w:rPr>
  </w:style>
  <w:style w:styleId="Style_143_ch" w:type="character">
    <w:name w:val="Знак Знак7"/>
    <w:link w:val="Style_143"/>
    <w:rPr>
      <w:b w:val="1"/>
      <w:i w:val="1"/>
      <w:sz w:val="24"/>
    </w:rPr>
  </w:style>
  <w:style w:styleId="Style_144" w:type="paragraph">
    <w:name w:val="ListBul2"/>
    <w:basedOn w:val="Style_145"/>
    <w:link w:val="Style_144_ch"/>
    <w:pPr>
      <w:widowControl w:val="1"/>
      <w:tabs>
        <w:tab w:leader="none" w:pos="360" w:val="left"/>
      </w:tabs>
      <w:spacing w:after="120"/>
      <w:ind w:hanging="360" w:left="360"/>
      <w:jc w:val="left"/>
    </w:pPr>
    <w:rPr>
      <w:rFonts w:ascii="Arial" w:hAnsi="Arial"/>
      <w:color w:val="000000"/>
      <w:sz w:val="20"/>
    </w:rPr>
  </w:style>
  <w:style w:styleId="Style_144_ch" w:type="character">
    <w:name w:val="ListBul2"/>
    <w:basedOn w:val="Style_145_ch"/>
    <w:link w:val="Style_144"/>
    <w:rPr>
      <w:rFonts w:ascii="Arial" w:hAnsi="Arial"/>
      <w:color w:val="000000"/>
      <w:sz w:val="20"/>
    </w:rPr>
  </w:style>
  <w:style w:styleId="Style_145" w:type="paragraph">
    <w:name w:val="List Bullet"/>
    <w:basedOn w:val="Style_11"/>
    <w:link w:val="Style_145_ch"/>
    <w:pPr>
      <w:widowControl w:val="0"/>
      <w:spacing w:after="60"/>
      <w:ind/>
      <w:jc w:val="both"/>
    </w:pPr>
    <w:rPr>
      <w:color w:val="000000"/>
    </w:rPr>
  </w:style>
  <w:style w:styleId="Style_145_ch" w:type="character">
    <w:name w:val="List Bullet"/>
    <w:basedOn w:val="Style_11_ch"/>
    <w:link w:val="Style_145"/>
    <w:rPr>
      <w:color w:val="000000"/>
    </w:rPr>
  </w:style>
  <w:style w:styleId="Style_8" w:type="paragraph">
    <w:name w:val="heading 2"/>
    <w:basedOn w:val="Style_11"/>
    <w:next w:val="Style_11"/>
    <w:link w:val="Style_8_ch"/>
    <w:uiPriority w:val="9"/>
    <w:qFormat/>
    <w:pPr>
      <w:keepNext w:val="1"/>
      <w:spacing w:after="60" w:before="240"/>
      <w:ind/>
      <w:outlineLvl w:val="1"/>
    </w:pPr>
    <w:rPr>
      <w:rFonts w:ascii="Arial" w:hAnsi="Arial"/>
      <w:b w:val="1"/>
      <w:i w:val="1"/>
      <w:sz w:val="28"/>
    </w:rPr>
  </w:style>
  <w:style w:styleId="Style_8_ch" w:type="character">
    <w:name w:val="heading 2"/>
    <w:basedOn w:val="Style_11_ch"/>
    <w:link w:val="Style_8"/>
    <w:rPr>
      <w:rFonts w:ascii="Arial" w:hAnsi="Arial"/>
      <w:b w:val="1"/>
      <w:i w:val="1"/>
      <w:sz w:val="28"/>
    </w:rPr>
  </w:style>
  <w:style w:styleId="Style_146" w:type="paragraph">
    <w:name w:val="Знак2 Знак Знак"/>
    <w:link w:val="Style_146_ch"/>
    <w:rPr>
      <w:sz w:val="24"/>
    </w:rPr>
  </w:style>
  <w:style w:styleId="Style_146_ch" w:type="character">
    <w:name w:val="Знак2 Знак Знак"/>
    <w:link w:val="Style_146"/>
    <w:rPr>
      <w:sz w:val="24"/>
    </w:rPr>
  </w:style>
  <w:style w:styleId="Style_147" w:type="paragraph">
    <w:name w:val="Заголовок 3 Знак"/>
    <w:link w:val="Style_147_ch"/>
    <w:rPr>
      <w:rFonts w:ascii="Arial" w:hAnsi="Arial"/>
      <w:b w:val="1"/>
      <w:sz w:val="26"/>
    </w:rPr>
  </w:style>
  <w:style w:styleId="Style_147_ch" w:type="character">
    <w:name w:val="Заголовок 3 Знак"/>
    <w:link w:val="Style_147"/>
    <w:rPr>
      <w:rFonts w:ascii="Arial" w:hAnsi="Arial"/>
      <w:b w:val="1"/>
      <w:sz w:val="26"/>
    </w:rPr>
  </w:style>
  <w:style w:styleId="Style_148" w:type="paragraph">
    <w:name w:val="Heading 1 Char"/>
    <w:link w:val="Style_148_ch"/>
    <w:rPr>
      <w:b w:val="1"/>
      <w:sz w:val="24"/>
    </w:rPr>
  </w:style>
  <w:style w:styleId="Style_148_ch" w:type="character">
    <w:name w:val="Heading 1 Char"/>
    <w:link w:val="Style_148"/>
    <w:rPr>
      <w:b w:val="1"/>
      <w:sz w:val="24"/>
    </w:rPr>
  </w:style>
  <w:style w:styleId="Style_149" w:type="paragraph">
    <w:name w:val="ConsPlusNormal"/>
    <w:link w:val="Style_149_ch"/>
    <w:pPr>
      <w:widowControl w:val="0"/>
      <w:ind w:firstLine="720" w:left="0"/>
    </w:pPr>
    <w:rPr>
      <w:rFonts w:ascii="Arial" w:hAnsi="Arial"/>
    </w:rPr>
  </w:style>
  <w:style w:styleId="Style_149_ch" w:type="character">
    <w:name w:val="ConsPlusNormal"/>
    <w:link w:val="Style_149"/>
    <w:rPr>
      <w:rFonts w:ascii="Arial" w:hAnsi="Arial"/>
    </w:rPr>
  </w:style>
  <w:style w:styleId="Style_150" w:type="paragraph">
    <w:name w:val="Знак2 Знак Знак11"/>
    <w:link w:val="Style_150_ch"/>
    <w:rPr>
      <w:sz w:val="24"/>
    </w:rPr>
  </w:style>
  <w:style w:styleId="Style_150_ch" w:type="character">
    <w:name w:val="Знак2 Знак Знак11"/>
    <w:link w:val="Style_150"/>
    <w:rPr>
      <w:sz w:val="24"/>
    </w:rPr>
  </w:style>
  <w:style w:styleId="Style_151" w:type="paragraph">
    <w:name w:val="Plain Text"/>
    <w:basedOn w:val="Style_11"/>
    <w:link w:val="Style_151_ch"/>
    <w:rPr>
      <w:rFonts w:ascii="Courier New" w:hAnsi="Courier New"/>
      <w:sz w:val="20"/>
    </w:rPr>
  </w:style>
  <w:style w:styleId="Style_151_ch" w:type="character">
    <w:name w:val="Plain Text"/>
    <w:basedOn w:val="Style_11_ch"/>
    <w:link w:val="Style_151"/>
    <w:rPr>
      <w:rFonts w:ascii="Courier New" w:hAnsi="Courier New"/>
      <w:sz w:val="20"/>
    </w:rPr>
  </w:style>
  <w:style w:styleId="Style_68" w:type="paragraph">
    <w:name w:val="Body Text Indent 2"/>
    <w:basedOn w:val="Style_11"/>
    <w:link w:val="Style_68_ch"/>
    <w:pPr>
      <w:tabs>
        <w:tab w:leader="none" w:pos="720" w:val="left"/>
      </w:tabs>
      <w:spacing w:before="57"/>
      <w:ind w:hanging="720" w:left="720"/>
      <w:jc w:val="both"/>
    </w:pPr>
  </w:style>
  <w:style w:styleId="Style_68_ch" w:type="character">
    <w:name w:val="Body Text Indent 2"/>
    <w:basedOn w:val="Style_11_ch"/>
    <w:link w:val="Style_68"/>
  </w:style>
  <w:style w:styleId="Style_152" w:type="paragraph">
    <w:name w:val="heading 6"/>
    <w:basedOn w:val="Style_11"/>
    <w:next w:val="Style_11"/>
    <w:link w:val="Style_152_ch"/>
    <w:uiPriority w:val="9"/>
    <w:qFormat/>
    <w:pPr>
      <w:numPr>
        <w:ilvl w:val="5"/>
        <w:numId w:val="6"/>
      </w:numPr>
      <w:spacing w:after="60" w:before="240"/>
      <w:ind/>
      <w:jc w:val="both"/>
      <w:outlineLvl w:val="5"/>
    </w:pPr>
    <w:rPr>
      <w:i w:val="1"/>
      <w:sz w:val="22"/>
    </w:rPr>
  </w:style>
  <w:style w:styleId="Style_152_ch" w:type="character">
    <w:name w:val="heading 6"/>
    <w:basedOn w:val="Style_11_ch"/>
    <w:link w:val="Style_152"/>
    <w:rPr>
      <w:i w:val="1"/>
      <w:sz w:val="22"/>
    </w:rPr>
  </w:style>
  <w:style w:styleId="Style_153" w:type="paragraph">
    <w:name w:val="1Æ10"/>
    <w:basedOn w:val="Style_11"/>
    <w:link w:val="Style_153_ch"/>
    <w:rPr>
      <w:rFonts w:ascii="Times New Roman CYR" w:hAnsi="Times New Roman CYR"/>
      <w:b w:val="1"/>
      <w:sz w:val="20"/>
    </w:rPr>
  </w:style>
  <w:style w:styleId="Style_153_ch" w:type="character">
    <w:name w:val="1Æ10"/>
    <w:basedOn w:val="Style_11_ch"/>
    <w:link w:val="Style_153"/>
    <w:rPr>
      <w:rFonts w:ascii="Times New Roman CYR" w:hAnsi="Times New Roman CYR"/>
      <w:b w:val="1"/>
      <w:sz w:val="20"/>
    </w:rPr>
  </w:style>
  <w:style w:styleId="Style_9" w:type="table">
    <w:name w:val="Table Grid"/>
    <w:basedOn w:val="Style_7"/>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7"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stylesWithEffects.xml" Type="http://schemas.microsoft.com/office/2007/relationships/stylesWithEffects"/>
  <Relationship Id="rId1" Target="header1.xml" Type="http://schemas.openxmlformats.org/officeDocument/2006/relationships/header"/>
  <Relationship Id="rId2" Target="footer2.xml" Type="http://schemas.openxmlformats.org/officeDocument/2006/relationships/footer"/>
  <Relationship Id="rId3" Target="fontTable.xml" Type="http://schemas.openxmlformats.org/officeDocument/2006/relationships/fontTable"/>
  <Relationship Id="rId8" Target="theme/theme1.xml" Type="http://schemas.openxmlformats.org/officeDocument/2006/relationships/theme"/>
  <Relationship Id="rId4" Target="settings.xml" Type="http://schemas.openxmlformats.org/officeDocument/2006/relationships/settings"/>
  <Relationship Id="rId9" Target="numbering.xml" Type="http://schemas.openxmlformats.org/officeDocument/2006/relationships/numbering"/>
  <Relationship Id="rId7" Target="webSettings.xml" Type="http://schemas.openxmlformats.org/officeDocument/2006/relationships/webSettings"/>
  <Relationship Id="rId5" Target="styles.xml" Type="http://schemas.openxmlformats.org/officeDocument/2006/relationships/style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2024-08-16T12:22:39Z</dcterms:modified>
</cp:coreProperties>
</file>