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/>
        <w:ind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Приложение № 1 </w:t>
      </w:r>
    </w:p>
    <w:p w14:paraId="02000000">
      <w:pPr>
        <w:spacing w:after="0"/>
        <w:ind w:firstLine="0" w:left="5664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к извещению о проведении закупки через эл. магазин</w:t>
      </w:r>
    </w:p>
    <w:p w14:paraId="03000000">
      <w:pPr>
        <w:ind/>
        <w:jc w:val="center"/>
        <w:rPr>
          <w:rFonts w:ascii="Times New Roman" w:hAnsi="Times New Roman"/>
          <w:b w:val="1"/>
          <w:sz w:val="24"/>
        </w:rPr>
      </w:pPr>
    </w:p>
    <w:p w14:paraId="04000000">
      <w:pPr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 xml:space="preserve">Техническое задание </w:t>
      </w:r>
    </w:p>
    <w:p w14:paraId="05000000">
      <w:pPr>
        <w:pStyle w:val="Style_1"/>
        <w:tabs>
          <w:tab w:leader="none" w:pos="851" w:val="left"/>
        </w:tabs>
        <w:ind w:firstLine="567" w:left="0"/>
        <w:jc w:val="center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 на оказание</w:t>
      </w:r>
      <w:r>
        <w:rPr>
          <w:rFonts w:ascii="Times New Roman" w:hAnsi="Times New Roman"/>
          <w:b w:val="1"/>
          <w:sz w:val="24"/>
        </w:rPr>
        <w:t xml:space="preserve"> услуг </w:t>
      </w:r>
      <w:r>
        <w:rPr>
          <w:rFonts w:ascii="Times New Roman" w:hAnsi="Times New Roman"/>
          <w:b w:val="1"/>
          <w:sz w:val="24"/>
        </w:rPr>
        <w:t xml:space="preserve"> по оформлению центрального входа и фойе  СПБ ГБУ "Дом культуры "Суздальский" воздушными шарами в рамках проведения Дня открытых дверей.</w:t>
      </w:r>
    </w:p>
    <w:p w14:paraId="06000000">
      <w:pPr>
        <w:ind/>
        <w:jc w:val="center"/>
        <w:rPr>
          <w:b w:val="1"/>
        </w:rPr>
      </w:pPr>
    </w:p>
    <w:p w14:paraId="07000000">
      <w:pPr>
        <w:spacing w:line="240" w:lineRule="auto"/>
        <w:ind w:firstLine="709" w:left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Дата </w:t>
      </w:r>
      <w:r>
        <w:rPr>
          <w:rFonts w:ascii="Times New Roman" w:hAnsi="Times New Roman"/>
          <w:sz w:val="22"/>
        </w:rPr>
        <w:t xml:space="preserve">проведения: </w:t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>01</w:t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>сентября</w:t>
      </w:r>
      <w:r>
        <w:rPr>
          <w:rFonts w:ascii="Times New Roman" w:hAnsi="Times New Roman"/>
          <w:sz w:val="22"/>
        </w:rPr>
        <w:t xml:space="preserve"> 202</w:t>
      </w:r>
      <w:r>
        <w:rPr>
          <w:rFonts w:ascii="Times New Roman" w:hAnsi="Times New Roman"/>
          <w:sz w:val="22"/>
        </w:rPr>
        <w:t>4</w:t>
      </w:r>
      <w:r>
        <w:rPr>
          <w:rFonts w:ascii="Times New Roman" w:hAnsi="Times New Roman"/>
          <w:sz w:val="22"/>
        </w:rPr>
        <w:t xml:space="preserve"> г.</w:t>
      </w:r>
    </w:p>
    <w:p w14:paraId="08000000">
      <w:pPr>
        <w:spacing w:line="240" w:lineRule="auto"/>
        <w:ind w:firstLine="709" w:left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Время готовности: 10.00</w:t>
      </w:r>
    </w:p>
    <w:p w14:paraId="09000000">
      <w:pPr>
        <w:spacing w:line="240" w:lineRule="auto"/>
        <w:ind w:firstLine="709" w:left="0"/>
        <w:outlineLvl w:val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 xml:space="preserve">Место проведения: </w:t>
      </w:r>
      <w:r>
        <w:rPr>
          <w:rFonts w:ascii="Times New Roman" w:hAnsi="Times New Roman"/>
          <w:sz w:val="22"/>
        </w:rPr>
        <w:t xml:space="preserve">СПб, Суздальский проспект, дом 3, корпус 1, </w:t>
      </w:r>
      <w:r>
        <w:rPr>
          <w:rFonts w:ascii="Times New Roman" w:hAnsi="Times New Roman"/>
          <w:sz w:val="22"/>
        </w:rPr>
        <w:t>главный вход  и фойе СПб ГБУ «</w:t>
      </w:r>
      <w:r>
        <w:rPr>
          <w:rFonts w:ascii="Times New Roman" w:hAnsi="Times New Roman"/>
          <w:sz w:val="22"/>
        </w:rPr>
        <w:t>Дом культуры «Суздальский»</w:t>
      </w:r>
      <w:r>
        <w:rPr>
          <w:rFonts w:ascii="Times New Roman" w:hAnsi="Times New Roman"/>
          <w:sz w:val="22"/>
        </w:rPr>
        <w:t>.</w:t>
      </w:r>
    </w:p>
    <w:tbl>
      <w:tblPr>
        <w:tblW w:type="auto" w:w="0"/>
        <w:tblInd w:type="dxa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849"/>
        <w:gridCol w:w="4929"/>
        <w:gridCol w:w="2297"/>
        <w:gridCol w:w="1814"/>
      </w:tblGrid>
      <w:tr>
        <w:trPr>
          <w:trHeight w:hRule="atLeast" w:val="942"/>
        </w:trPr>
        <w:tc>
          <w:tcPr>
            <w:tcW w:type="dxa" w:w="8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A000000">
            <w:pPr>
              <w:spacing w:line="240" w:lineRule="auto"/>
              <w:ind/>
              <w:jc w:val="center"/>
              <w:rPr>
                <w:rFonts w:ascii="Times New Roman" w:hAnsi="Times New Roman"/>
                <w:b w:val="1"/>
                <w:sz w:val="22"/>
              </w:rPr>
            </w:pPr>
            <w:r>
              <w:rPr>
                <w:rFonts w:ascii="Times New Roman" w:hAnsi="Times New Roman"/>
                <w:b w:val="1"/>
                <w:sz w:val="22"/>
              </w:rPr>
              <w:t>№ п/п</w:t>
            </w:r>
          </w:p>
        </w:tc>
        <w:tc>
          <w:tcPr>
            <w:tcW w:type="dxa" w:w="492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B000000">
            <w:pPr>
              <w:spacing w:line="240" w:lineRule="auto"/>
              <w:ind/>
              <w:jc w:val="center"/>
              <w:rPr>
                <w:rFonts w:ascii="Times New Roman" w:hAnsi="Times New Roman"/>
                <w:b w:val="1"/>
                <w:sz w:val="22"/>
              </w:rPr>
            </w:pPr>
            <w:r>
              <w:rPr>
                <w:rFonts w:ascii="Times New Roman" w:hAnsi="Times New Roman"/>
                <w:b w:val="1"/>
                <w:sz w:val="22"/>
              </w:rPr>
              <w:t xml:space="preserve">Характеристика </w:t>
            </w:r>
            <w:r>
              <w:rPr>
                <w:rFonts w:ascii="Times New Roman" w:hAnsi="Times New Roman"/>
                <w:b w:val="1"/>
                <w:sz w:val="22"/>
              </w:rPr>
              <w:t>услуг</w:t>
            </w:r>
          </w:p>
        </w:tc>
        <w:tc>
          <w:tcPr>
            <w:tcW w:type="dxa" w:w="22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C000000">
            <w:pPr>
              <w:keepNext w:val="1"/>
              <w:tabs>
                <w:tab w:leader="none" w:pos="341" w:val="left"/>
              </w:tabs>
              <w:spacing w:line="240" w:lineRule="auto"/>
              <w:ind/>
              <w:jc w:val="center"/>
              <w:rPr>
                <w:rFonts w:ascii="Times New Roman" w:hAnsi="Times New Roman"/>
                <w:b w:val="1"/>
                <w:sz w:val="22"/>
              </w:rPr>
            </w:pPr>
            <w:r>
              <w:rPr>
                <w:rFonts w:ascii="Times New Roman" w:hAnsi="Times New Roman"/>
                <w:b w:val="1"/>
                <w:sz w:val="22"/>
              </w:rPr>
              <w:t>Цена за ед. в руб., НДС не облагается.</w:t>
            </w:r>
          </w:p>
        </w:tc>
        <w:tc>
          <w:tcPr>
            <w:tcW w:type="dxa" w:w="18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D000000">
            <w:pPr>
              <w:keepNext w:val="1"/>
              <w:tabs>
                <w:tab w:leader="none" w:pos="341" w:val="left"/>
              </w:tabs>
              <w:spacing w:line="240" w:lineRule="auto"/>
              <w:ind/>
              <w:jc w:val="center"/>
              <w:rPr>
                <w:rFonts w:ascii="Times New Roman" w:hAnsi="Times New Roman"/>
                <w:b w:val="1"/>
                <w:sz w:val="22"/>
              </w:rPr>
            </w:pPr>
            <w:r>
              <w:rPr>
                <w:rFonts w:ascii="Times New Roman" w:hAnsi="Times New Roman"/>
                <w:b w:val="1"/>
                <w:sz w:val="22"/>
              </w:rPr>
              <w:t>Стоимость, руб., НДС не облагается</w:t>
            </w:r>
          </w:p>
        </w:tc>
      </w:tr>
      <w:tr>
        <w:trPr>
          <w:trHeight w:hRule="atLeast" w:val="465"/>
        </w:trPr>
        <w:tc>
          <w:tcPr>
            <w:tcW w:type="dxa" w:w="8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E000000">
            <w:pPr>
              <w:spacing w:line="240" w:lineRule="auto"/>
              <w:ind/>
              <w:jc w:val="both"/>
              <w:rPr>
                <w:rFonts w:ascii="Times New Roman" w:hAnsi="Times New Roman"/>
                <w:b w:val="1"/>
                <w:sz w:val="22"/>
              </w:rPr>
            </w:pPr>
            <w:r>
              <w:rPr>
                <w:rFonts w:ascii="Times New Roman" w:hAnsi="Times New Roman"/>
                <w:b w:val="1"/>
                <w:sz w:val="22"/>
              </w:rPr>
              <w:t>1</w:t>
            </w:r>
          </w:p>
        </w:tc>
        <w:tc>
          <w:tcPr>
            <w:tcW w:type="dxa" w:w="492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F000000">
            <w:pPr>
              <w:pStyle w:val="Style_1"/>
              <w:tabs>
                <w:tab w:leader="none" w:pos="346" w:val="left"/>
              </w:tabs>
              <w:spacing w:line="240" w:lineRule="auto"/>
              <w:ind w:firstLine="34" w:left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Центральный вход - разнокалиберная гирлянда из шаров хром и сфер 8 м. </w:t>
            </w:r>
          </w:p>
          <w:p w14:paraId="10000000">
            <w:pPr>
              <w:pStyle w:val="Style_1"/>
              <w:tabs>
                <w:tab w:leader="none" w:pos="346" w:val="left"/>
              </w:tabs>
              <w:spacing w:line="240" w:lineRule="auto"/>
              <w:ind w:firstLine="34" w:left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Фойе - фонтан 2 шт в каждом по 9 шаров (Шар хром - 1 шт,Шар с конфетти - 1 шт,Шар металлик - 3 шт,Шар агат - 4 шт).</w:t>
            </w:r>
          </w:p>
          <w:p w14:paraId="11000000">
            <w:pPr>
              <w:pStyle w:val="Style_1"/>
              <w:tabs>
                <w:tab w:leader="none" w:pos="346" w:val="left"/>
              </w:tabs>
              <w:spacing w:line="240" w:lineRule="auto"/>
              <w:ind w:firstLine="34" w:left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3. Шар гигант 70 см с хвостом + надпись .</w:t>
            </w:r>
          </w:p>
          <w:p w14:paraId="12000000">
            <w:pPr>
              <w:tabs>
                <w:tab w:leader="none" w:pos="346" w:val="left"/>
              </w:tabs>
              <w:spacing w:line="240" w:lineRule="auto"/>
              <w:ind/>
              <w:rPr>
                <w:rFonts w:ascii="Times New Roman" w:hAnsi="Times New Roman"/>
                <w:color w:val="1A1A1A"/>
                <w:sz w:val="22"/>
                <w:highlight w:val="white"/>
              </w:rPr>
            </w:pPr>
          </w:p>
          <w:p w14:paraId="13000000">
            <w:pPr>
              <w:tabs>
                <w:tab w:leader="none" w:pos="346" w:val="left"/>
              </w:tabs>
              <w:spacing w:line="240" w:lineRule="auto"/>
              <w:ind w:firstLine="34" w:left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Наполнитель -</w:t>
            </w:r>
            <w:r>
              <w:rPr>
                <w:rFonts w:ascii="Times New Roman" w:hAnsi="Times New Roman"/>
                <w:sz w:val="22"/>
              </w:rPr>
              <w:t xml:space="preserve"> </w:t>
            </w:r>
            <w:r>
              <w:rPr>
                <w:rFonts w:ascii="Times New Roman" w:hAnsi="Times New Roman"/>
                <w:sz w:val="22"/>
              </w:rPr>
              <w:t>гелий</w:t>
            </w:r>
            <w:r>
              <w:rPr>
                <w:rFonts w:ascii="Times New Roman" w:hAnsi="Times New Roman"/>
                <w:sz w:val="22"/>
              </w:rPr>
              <w:t>.</w:t>
            </w:r>
          </w:p>
          <w:p w14:paraId="14000000">
            <w:pPr>
              <w:tabs>
                <w:tab w:leader="none" w:pos="346" w:val="left"/>
              </w:tabs>
              <w:spacing w:line="240" w:lineRule="auto"/>
              <w:ind w:firstLine="34" w:left="0"/>
              <w:rPr>
                <w:rFonts w:ascii="Times New Roman" w:hAnsi="Times New Roman"/>
                <w:b w:val="1"/>
                <w:i w:val="1"/>
                <w:sz w:val="22"/>
                <w:u w:val="single"/>
              </w:rPr>
            </w:pPr>
          </w:p>
        </w:tc>
        <w:tc>
          <w:tcPr>
            <w:tcW w:type="dxa" w:w="22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5000000">
            <w:pPr>
              <w:spacing w:line="240" w:lineRule="auto"/>
              <w:ind/>
              <w:jc w:val="both"/>
              <w:rPr>
                <w:rFonts w:ascii="Times New Roman" w:hAnsi="Times New Roman"/>
                <w:b w:val="1"/>
                <w:sz w:val="22"/>
              </w:rPr>
            </w:pPr>
          </w:p>
        </w:tc>
        <w:tc>
          <w:tcPr>
            <w:tcW w:type="dxa" w:w="18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6000000">
            <w:pPr>
              <w:spacing w:line="240" w:lineRule="auto"/>
              <w:ind/>
              <w:jc w:val="both"/>
              <w:rPr>
                <w:rFonts w:ascii="Times New Roman" w:hAnsi="Times New Roman"/>
                <w:b w:val="1"/>
                <w:sz w:val="22"/>
              </w:rPr>
            </w:pPr>
          </w:p>
        </w:tc>
      </w:tr>
    </w:tbl>
    <w:p w14:paraId="17000000"/>
    <w:p w14:paraId="18000000">
      <w:pPr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2.2.1. </w:t>
      </w:r>
      <w:r>
        <w:rPr>
          <w:rFonts w:ascii="Times New Roman" w:hAnsi="Times New Roman"/>
        </w:rPr>
        <w:t>Исполнитель</w:t>
      </w:r>
      <w:r>
        <w:rPr>
          <w:rFonts w:ascii="Times New Roman" w:hAnsi="Times New Roman"/>
        </w:rPr>
        <w:t xml:space="preserve"> Заказчику </w:t>
      </w:r>
      <w:r>
        <w:rPr>
          <w:rFonts w:ascii="Times New Roman" w:hAnsi="Times New Roman"/>
        </w:rPr>
        <w:t xml:space="preserve">оказывает услуги </w:t>
      </w:r>
      <w:r>
        <w:rPr>
          <w:rFonts w:ascii="Times New Roman" w:hAnsi="Times New Roman"/>
        </w:rPr>
        <w:t xml:space="preserve">в срок, указанный в </w:t>
      </w:r>
      <w:r>
        <w:rPr>
          <w:rFonts w:ascii="Times New Roman" w:hAnsi="Times New Roman"/>
        </w:rPr>
        <w:t>Приложении №1 технического задания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</w:p>
    <w:p w14:paraId="19000000">
      <w:pPr>
        <w:tabs>
          <w:tab w:leader="none" w:pos="0" w:val="left"/>
        </w:tabs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. Осуществить </w:t>
      </w:r>
      <w:r>
        <w:rPr>
          <w:rFonts w:ascii="Times New Roman" w:hAnsi="Times New Roman"/>
        </w:rPr>
        <w:t>оказание услуг</w:t>
      </w:r>
      <w:r>
        <w:rPr>
          <w:rFonts w:ascii="Times New Roman" w:hAnsi="Times New Roman"/>
        </w:rPr>
        <w:t>, погрузо-разгрузочные работы своими силами и за свой счет.</w:t>
      </w:r>
    </w:p>
    <w:p w14:paraId="1A000000">
      <w:pPr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. За 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рабочи</w:t>
      </w:r>
      <w:r>
        <w:rPr>
          <w:rFonts w:ascii="Times New Roman" w:hAnsi="Times New Roman"/>
        </w:rPr>
        <w:t>й</w:t>
      </w:r>
      <w:r>
        <w:rPr>
          <w:rFonts w:ascii="Times New Roman" w:hAnsi="Times New Roman"/>
        </w:rPr>
        <w:t xml:space="preserve"> д</w:t>
      </w:r>
      <w:r>
        <w:rPr>
          <w:rFonts w:ascii="Times New Roman" w:hAnsi="Times New Roman"/>
        </w:rPr>
        <w:t>ень</w:t>
      </w:r>
      <w:r>
        <w:rPr>
          <w:rFonts w:ascii="Times New Roman" w:hAnsi="Times New Roman"/>
        </w:rPr>
        <w:t xml:space="preserve"> уведомить Заказчика о готовности </w:t>
      </w:r>
      <w:r>
        <w:rPr>
          <w:rFonts w:ascii="Times New Roman" w:hAnsi="Times New Roman"/>
        </w:rPr>
        <w:t>оказания услуг</w:t>
      </w:r>
      <w:r>
        <w:rPr>
          <w:rFonts w:ascii="Times New Roman" w:hAnsi="Times New Roman"/>
        </w:rPr>
        <w:t xml:space="preserve"> к </w:t>
      </w:r>
      <w:r>
        <w:rPr>
          <w:rFonts w:ascii="Times New Roman" w:hAnsi="Times New Roman"/>
        </w:rPr>
        <w:t>оказанию</w:t>
      </w:r>
      <w:r>
        <w:rPr>
          <w:rFonts w:ascii="Times New Roman" w:hAnsi="Times New Roman"/>
        </w:rPr>
        <w:t xml:space="preserve">, назначить ответственного представителя со своей стороны за оформление сдачи-приемки </w:t>
      </w:r>
      <w:r>
        <w:rPr>
          <w:rFonts w:ascii="Times New Roman" w:hAnsi="Times New Roman"/>
        </w:rPr>
        <w:t>оказанных услуг</w:t>
      </w:r>
      <w:r>
        <w:rPr>
          <w:rFonts w:ascii="Times New Roman" w:hAnsi="Times New Roman"/>
        </w:rPr>
        <w:t xml:space="preserve"> и указать время доставки </w:t>
      </w:r>
      <w:r>
        <w:rPr>
          <w:rFonts w:ascii="Times New Roman" w:hAnsi="Times New Roman"/>
        </w:rPr>
        <w:t>оказания услуг</w:t>
      </w:r>
      <w:r>
        <w:rPr>
          <w:rFonts w:ascii="Times New Roman" w:hAnsi="Times New Roman"/>
        </w:rPr>
        <w:t xml:space="preserve">. </w:t>
      </w:r>
    </w:p>
    <w:p w14:paraId="1B000000">
      <w:pPr>
        <w:tabs>
          <w:tab w:leader="none" w:pos="0" w:val="left"/>
        </w:tabs>
        <w:ind w:firstLine="600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>4</w:t>
      </w:r>
      <w:r>
        <w:rPr>
          <w:rFonts w:ascii="Times New Roman" w:hAnsi="Times New Roman"/>
        </w:rPr>
        <w:t>. Поставляемый товар должен быть новым (товар, который не был в употреблении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</w:rPr>
        <w:t>. Весь товар должен быть свободным от прав третьих лиц, не находится в залоге, под арестом или под иным обременением.</w:t>
      </w:r>
      <w:bookmarkStart w:id="1" w:name="_GoBack"/>
      <w:bookmarkEnd w:id="1"/>
    </w:p>
    <w:sectPr>
      <w:pgSz w:h="16838" w:orient="portrait" w:w="11906"/>
      <w:pgMar w:bottom="1440" w:footer="708" w:gutter="0" w:header="708" w:left="1080" w:right="108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Default Paragraph Font"/>
    <w:link w:val="Style_2_ch"/>
  </w:style>
  <w:style w:styleId="Style_2_ch" w:type="character">
    <w:name w:val="Default Paragraph Font"/>
    <w:link w:val="Style_2"/>
  </w:style>
  <w:style w:styleId="Style_3" w:type="paragraph">
    <w:name w:val="toc 2"/>
    <w:next w:val="Style_1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1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1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List Paragraph"/>
    <w:basedOn w:val="Style_1"/>
    <w:link w:val="Style_9_ch"/>
    <w:pPr>
      <w:ind w:firstLine="0" w:left="720"/>
      <w:contextualSpacing w:val="1"/>
    </w:pPr>
  </w:style>
  <w:style w:styleId="Style_9_ch" w:type="character">
    <w:name w:val="List Paragraph"/>
    <w:basedOn w:val="Style_1_ch"/>
    <w:link w:val="Style_9"/>
  </w:style>
  <w:style w:styleId="Style_10" w:type="paragraph">
    <w:name w:val="Normal (Web)"/>
    <w:basedOn w:val="Style_1"/>
    <w:link w:val="Style_10_ch"/>
    <w:pPr>
      <w:spacing w:after="0" w:line="240" w:lineRule="auto"/>
      <w:ind/>
    </w:pPr>
    <w:rPr>
      <w:rFonts w:ascii="Times New Roman" w:hAnsi="Times New Roman"/>
      <w:sz w:val="24"/>
    </w:rPr>
  </w:style>
  <w:style w:styleId="Style_10_ch" w:type="character">
    <w:name w:val="Normal (Web)"/>
    <w:basedOn w:val="Style_1_ch"/>
    <w:link w:val="Style_10"/>
    <w:rPr>
      <w:rFonts w:ascii="Times New Roman" w:hAnsi="Times New Roman"/>
      <w:sz w:val="24"/>
    </w:rPr>
  </w:style>
  <w:style w:styleId="Style_11" w:type="paragraph">
    <w:name w:val="No Spacing"/>
    <w:link w:val="Style_11_ch"/>
    <w:pPr>
      <w:spacing w:after="0" w:line="240" w:lineRule="auto"/>
      <w:ind/>
    </w:pPr>
    <w:rPr>
      <w:rFonts w:ascii="Times New Roman" w:hAnsi="Times New Roman"/>
      <w:sz w:val="24"/>
    </w:rPr>
  </w:style>
  <w:style w:styleId="Style_11_ch" w:type="character">
    <w:name w:val="No Spacing"/>
    <w:link w:val="Style_11"/>
    <w:rPr>
      <w:rFonts w:ascii="Times New Roman" w:hAnsi="Times New Roman"/>
      <w:sz w:val="24"/>
    </w:rPr>
  </w:style>
  <w:style w:styleId="Style_12" w:type="paragraph">
    <w:name w:val="s1"/>
    <w:basedOn w:val="Style_2"/>
    <w:link w:val="Style_12_ch"/>
    <w:rPr>
      <w:rFonts w:ascii="UICTFontTextStyleBody" w:hAnsi="UICTFontTextStyleBody"/>
      <w:b w:val="0"/>
      <w:i w:val="0"/>
      <w:sz w:val="26"/>
    </w:rPr>
  </w:style>
  <w:style w:styleId="Style_12_ch" w:type="character">
    <w:name w:val="s1"/>
    <w:basedOn w:val="Style_2_ch"/>
    <w:link w:val="Style_12"/>
    <w:rPr>
      <w:rFonts w:ascii="UICTFontTextStyleBody" w:hAnsi="UICTFontTextStyleBody"/>
      <w:b w:val="0"/>
      <w:i w:val="0"/>
      <w:sz w:val="26"/>
    </w:rPr>
  </w:style>
  <w:style w:styleId="Style_13" w:type="paragraph">
    <w:name w:val="toc 3"/>
    <w:next w:val="Style_1"/>
    <w:link w:val="Style_1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1"/>
    <w:link w:val="Style_14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Strong"/>
    <w:basedOn w:val="Style_2"/>
    <w:link w:val="Style_15_ch"/>
    <w:rPr>
      <w:b w:val="1"/>
    </w:rPr>
  </w:style>
  <w:style w:styleId="Style_15_ch" w:type="character">
    <w:name w:val="Strong"/>
    <w:basedOn w:val="Style_2_ch"/>
    <w:link w:val="Style_15"/>
    <w:rPr>
      <w:b w:val="1"/>
    </w:rPr>
  </w:style>
  <w:style w:styleId="Style_16" w:type="paragraph">
    <w:name w:val="heading 1"/>
    <w:next w:val="Style_1"/>
    <w:link w:val="Style_16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1"/>
    <w:link w:val="Style_19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spacing w:line="240" w:lineRule="auto"/>
      <w:ind/>
      <w:jc w:val="both"/>
    </w:pPr>
    <w:rPr>
      <w:rFonts w:ascii="XO Thames" w:hAnsi="XO Thames"/>
      <w:sz w:val="28"/>
    </w:rPr>
  </w:style>
  <w:style w:styleId="Style_20_ch" w:type="character">
    <w:name w:val="Header and Footer"/>
    <w:link w:val="Style_20"/>
    <w:rPr>
      <w:rFonts w:ascii="XO Thames" w:hAnsi="XO Thames"/>
      <w:sz w:val="28"/>
    </w:rPr>
  </w:style>
  <w:style w:styleId="Style_21" w:type="paragraph">
    <w:name w:val="headertext"/>
    <w:basedOn w:val="Style_1"/>
    <w:link w:val="Style_21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1_ch" w:type="character">
    <w:name w:val="headertext"/>
    <w:basedOn w:val="Style_1_ch"/>
    <w:link w:val="Style_21"/>
    <w:rPr>
      <w:rFonts w:ascii="Times New Roman" w:hAnsi="Times New Roman"/>
      <w:sz w:val="24"/>
    </w:rPr>
  </w:style>
  <w:style w:styleId="Style_22" w:type="paragraph">
    <w:name w:val="toc 9"/>
    <w:next w:val="Style_1"/>
    <w:link w:val="Style_22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toc 8"/>
    <w:next w:val="Style_1"/>
    <w:link w:val="Style_23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toc 5"/>
    <w:next w:val="Style_1"/>
    <w:link w:val="Style_24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4_ch" w:type="character">
    <w:name w:val="toc 5"/>
    <w:link w:val="Style_24"/>
    <w:rPr>
      <w:rFonts w:ascii="XO Thames" w:hAnsi="XO Thames"/>
      <w:sz w:val="28"/>
    </w:rPr>
  </w:style>
  <w:style w:styleId="Style_25" w:type="paragraph">
    <w:name w:val="Subtitle"/>
    <w:next w:val="Style_1"/>
    <w:link w:val="Style_25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.FORMATTEXT"/>
    <w:link w:val="Style_26_ch"/>
    <w:pPr>
      <w:widowControl w:val="0"/>
      <w:spacing w:after="0" w:line="240" w:lineRule="auto"/>
      <w:ind/>
    </w:pPr>
    <w:rPr>
      <w:rFonts w:ascii="Times New Roman" w:hAnsi="Times New Roman"/>
      <w:sz w:val="24"/>
    </w:rPr>
  </w:style>
  <w:style w:styleId="Style_26_ch" w:type="character">
    <w:name w:val=".FORMATTEXT"/>
    <w:link w:val="Style_26"/>
    <w:rPr>
      <w:rFonts w:ascii="Times New Roman" w:hAnsi="Times New Roman"/>
      <w:sz w:val="24"/>
    </w:rPr>
  </w:style>
  <w:style w:styleId="Style_27" w:type="paragraph">
    <w:name w:val="Title"/>
    <w:next w:val="Style_1"/>
    <w:link w:val="Style_27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1"/>
    <w:link w:val="Style_28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29" w:type="paragraph">
    <w:name w:val="heading 2"/>
    <w:next w:val="Style_1"/>
    <w:link w:val="Style_29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9_ch" w:type="character">
    <w:name w:val="heading 2"/>
    <w:link w:val="Style_29"/>
    <w:rPr>
      <w:rFonts w:ascii="XO Thames" w:hAnsi="XO Thames"/>
      <w:b w:val="1"/>
      <w:sz w:val="28"/>
    </w:rPr>
  </w:style>
  <w:style w:default="1" w:styleId="Style_30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2024-08-16T12:24:16Z</dcterms:modified>
</cp:coreProperties>
</file>