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66B603">
      <w:pPr>
        <w:shd w:val="clear" w:color="auto" w:fill="FFFFFF"/>
        <w:jc w:val="center"/>
        <w:rPr>
          <w:rFonts w:hint="default"/>
          <w:spacing w:val="2"/>
          <w:lang w:val="ru-RU"/>
        </w:rPr>
      </w:pPr>
      <w:r>
        <w:rPr>
          <w:spacing w:val="2"/>
        </w:rPr>
        <w:t xml:space="preserve">Контракт № </w:t>
      </w:r>
      <w:r>
        <w:rPr>
          <w:rFonts w:hint="default"/>
          <w:spacing w:val="2"/>
          <w:lang w:val="ru-RU"/>
        </w:rPr>
        <w:t>___</w:t>
      </w:r>
    </w:p>
    <w:p w14:paraId="6A9076EE">
      <w:pPr>
        <w:jc w:val="center"/>
        <w:rPr>
          <w:rFonts w:eastAsia="Calibri"/>
        </w:rPr>
      </w:pPr>
      <w:r>
        <w:t xml:space="preserve">на оказание услуг </w:t>
      </w:r>
      <w:r>
        <w:rPr>
          <w:rFonts w:ascii="Times New Roman" w:hAnsi="Times New Roman" w:eastAsia="Andale Sans UI" w:cs="Times New Roman"/>
          <w:bCs/>
          <w:kern w:val="1"/>
          <w:sz w:val="24"/>
          <w:szCs w:val="24"/>
        </w:rPr>
        <w:t xml:space="preserve">по анализу проб твердого противогололедного материала природного песка (входной контроль) </w:t>
      </w:r>
    </w:p>
    <w:p w14:paraId="3EB75B1F">
      <w:pPr>
        <w:jc w:val="center"/>
      </w:pPr>
    </w:p>
    <w:p w14:paraId="2250E85C">
      <w:pPr>
        <w:shd w:val="clear" w:color="auto" w:fill="FFFFFF"/>
      </w:pPr>
      <w:r>
        <w:rPr>
          <w:spacing w:val="-7"/>
        </w:rPr>
        <w:t>г. Санкт-Петербург</w:t>
      </w:r>
      <w:r>
        <w:t xml:space="preserve">                                                                                   " </w:t>
      </w:r>
      <w:r>
        <w:rPr>
          <w:rFonts w:hint="default"/>
          <w:lang w:val="ru-RU"/>
        </w:rPr>
        <w:t>____</w:t>
      </w:r>
      <w:r>
        <w:t xml:space="preserve">" </w:t>
      </w:r>
      <w:r>
        <w:rPr>
          <w:rFonts w:hint="default"/>
          <w:lang w:val="ru-RU"/>
        </w:rPr>
        <w:t>________</w:t>
      </w:r>
      <w:r>
        <w:rPr>
          <w:spacing w:val="-6"/>
        </w:rPr>
        <w:t>2024 г.</w:t>
      </w:r>
    </w:p>
    <w:p w14:paraId="0C3B7F85">
      <w:pPr>
        <w:pStyle w:val="17"/>
        <w:shd w:val="clear" w:color="auto" w:fill="FFFFFF"/>
        <w:ind w:left="0" w:firstLine="709"/>
        <w:jc w:val="both"/>
        <w:rPr>
          <w:sz w:val="24"/>
          <w:szCs w:val="24"/>
        </w:rPr>
      </w:pPr>
    </w:p>
    <w:p w14:paraId="2C5C0AFB">
      <w:pPr>
        <w:pStyle w:val="17"/>
        <w:shd w:val="clear" w:color="auto" w:fill="FFFFFF"/>
        <w:ind w:left="0" w:firstLine="709"/>
        <w:jc w:val="both"/>
        <w:rPr>
          <w:sz w:val="24"/>
          <w:szCs w:val="24"/>
        </w:rPr>
      </w:pPr>
      <w:r>
        <w:rPr>
          <w:rFonts w:hint="default"/>
          <w:sz w:val="24"/>
          <w:szCs w:val="24"/>
          <w:lang w:val="ru-RU"/>
        </w:rPr>
        <w:t>_____________________________</w:t>
      </w:r>
      <w:r>
        <w:rPr>
          <w:sz w:val="24"/>
          <w:szCs w:val="24"/>
        </w:rPr>
        <w:t xml:space="preserve">, именуемое в дальнейшем «Исполнитель», в лице </w:t>
      </w:r>
      <w:r>
        <w:rPr>
          <w:rFonts w:hint="default"/>
          <w:sz w:val="24"/>
          <w:szCs w:val="24"/>
          <w:lang w:val="ru-RU"/>
        </w:rPr>
        <w:t>________________________</w:t>
      </w:r>
      <w:r>
        <w:rPr>
          <w:sz w:val="24"/>
          <w:szCs w:val="24"/>
        </w:rPr>
        <w:t xml:space="preserve">, действующего на основании </w:t>
      </w:r>
      <w:r>
        <w:rPr>
          <w:rFonts w:hint="default"/>
          <w:sz w:val="24"/>
          <w:szCs w:val="24"/>
          <w:lang w:val="ru-RU"/>
        </w:rPr>
        <w:t>_____________</w:t>
      </w:r>
      <w:r>
        <w:rPr>
          <w:sz w:val="24"/>
          <w:szCs w:val="24"/>
        </w:rPr>
        <w:t>, с одной стороны,</w:t>
      </w:r>
      <w:r>
        <w:rPr>
          <w:color w:val="000000"/>
          <w:sz w:val="24"/>
          <w:szCs w:val="24"/>
        </w:rPr>
        <w:t xml:space="preserve"> и Санкт-Петербургское государственное бюджетное учреждение  «Юго-западное управление региональных дорог и благоустройства (далее - СПб ГБУ«Юго-западное управление региональных дорог и благоустройства») </w:t>
      </w:r>
      <w:r>
        <w:rPr>
          <w:sz w:val="24"/>
          <w:szCs w:val="24"/>
        </w:rPr>
        <w:t>в лице</w:t>
      </w:r>
      <w:r>
        <w:rPr>
          <w:color w:val="000000"/>
          <w:spacing w:val="2"/>
          <w:sz w:val="24"/>
          <w:szCs w:val="24"/>
        </w:rPr>
        <w:t xml:space="preserve"> директора Игнатенко Альберта Анатольевича</w:t>
      </w:r>
      <w:r>
        <w:rPr>
          <w:color w:val="000000"/>
          <w:sz w:val="24"/>
          <w:szCs w:val="24"/>
        </w:rPr>
        <w:t>, действующего на основании Устава, именуемый в дальнейшем «Заказчик»</w:t>
      </w:r>
      <w:r>
        <w:rPr>
          <w:sz w:val="24"/>
          <w:szCs w:val="24"/>
        </w:rPr>
        <w:t>, с другой стороны, совместно именуемые в дальнейшем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50E3DB5D">
      <w:pPr>
        <w:shd w:val="clear" w:color="auto" w:fill="FFFFFF"/>
        <w:ind w:firstLine="709"/>
        <w:jc w:val="both"/>
      </w:pPr>
    </w:p>
    <w:p w14:paraId="1C8DE7D9">
      <w:pPr>
        <w:widowControl w:val="0"/>
        <w:jc w:val="center"/>
        <w:rPr>
          <w:b/>
          <w:bCs/>
        </w:rPr>
      </w:pPr>
      <w:r>
        <w:rPr>
          <w:b/>
          <w:bCs/>
        </w:rPr>
        <w:t>1. ПРЕДМЕТ КОНТРАКТА</w:t>
      </w:r>
    </w:p>
    <w:p w14:paraId="1C1B249D">
      <w:pPr>
        <w:ind w:firstLine="709"/>
        <w:jc w:val="both"/>
        <w:rPr>
          <w:spacing w:val="1"/>
        </w:rPr>
      </w:pPr>
      <w:r>
        <w:t xml:space="preserve">1.1. </w:t>
      </w:r>
      <w:r>
        <w:rPr>
          <w:spacing w:val="1"/>
        </w:rPr>
        <w:t xml:space="preserve">В соответствии с настоящим Контрактом Исполнитель обязуется в порядке и сроки, предусмотренные настоящим Контрактом </w:t>
      </w:r>
      <w:r>
        <w:t xml:space="preserve">оказать </w:t>
      </w:r>
      <w:r>
        <w:rPr>
          <w:spacing w:val="-7"/>
        </w:rPr>
        <w:t xml:space="preserve">услуги </w:t>
      </w:r>
      <w:r>
        <w:rPr>
          <w:rFonts w:ascii="Times New Roman" w:hAnsi="Times New Roman" w:eastAsia="Andale Sans UI" w:cs="Times New Roman"/>
          <w:bCs/>
          <w:kern w:val="1"/>
          <w:sz w:val="24"/>
          <w:szCs w:val="24"/>
        </w:rPr>
        <w:t>по анализу проб твердого противогололедного материала природного песка (входной контроль)</w:t>
      </w:r>
      <w:r>
        <w:rPr>
          <w:spacing w:val="1"/>
        </w:rPr>
        <w:t xml:space="preserve"> (далее – услуга), а Заказчик </w:t>
      </w:r>
      <w:r>
        <w:t xml:space="preserve">обязуется принять и </w:t>
      </w:r>
      <w:r>
        <w:rPr>
          <w:spacing w:val="1"/>
        </w:rPr>
        <w:t>оплатить оказанную услугу.</w:t>
      </w:r>
    </w:p>
    <w:p w14:paraId="7E41407C">
      <w:pPr>
        <w:ind w:firstLine="709"/>
        <w:jc w:val="both"/>
        <w:rPr>
          <w:spacing w:val="1"/>
        </w:rPr>
      </w:pPr>
      <w:r>
        <w:rPr>
          <w:spacing w:val="1"/>
        </w:rPr>
        <w:t>1.2. Х</w:t>
      </w:r>
      <w:r>
        <w:t xml:space="preserve">арактеристика, объем, цена и </w:t>
      </w:r>
      <w:r>
        <w:rPr>
          <w:spacing w:val="1"/>
        </w:rPr>
        <w:t>требования к оказываемой Исполнителем услуги, определены в Спецификации (Приложение №1), являющейся неотъемлемой частью настоящего Контракта.</w:t>
      </w:r>
    </w:p>
    <w:p w14:paraId="23B4E3B4">
      <w:pPr>
        <w:widowControl w:val="0"/>
        <w:autoSpaceDE w:val="0"/>
        <w:ind w:firstLine="709"/>
        <w:jc w:val="both"/>
        <w:rPr>
          <w:spacing w:val="1"/>
        </w:rPr>
      </w:pPr>
      <w:r>
        <w:t>1.3. ИКЗ: 242780581449278050100101040000000244</w:t>
      </w:r>
    </w:p>
    <w:p w14:paraId="62982A40">
      <w:pPr>
        <w:widowControl w:val="0"/>
        <w:autoSpaceDE w:val="0"/>
        <w:ind w:firstLine="709"/>
        <w:jc w:val="both"/>
      </w:pPr>
    </w:p>
    <w:p w14:paraId="18B03224">
      <w:pPr>
        <w:widowControl w:val="0"/>
        <w:autoSpaceDE w:val="0"/>
        <w:jc w:val="center"/>
        <w:rPr>
          <w:b/>
        </w:rPr>
      </w:pPr>
      <w:r>
        <w:rPr>
          <w:b/>
        </w:rPr>
        <w:t>2. ЦЕНА КОНТРАКТА. УСЛОВИЯ И ПОРЯДОК РАСЧЕТОВ</w:t>
      </w:r>
    </w:p>
    <w:p w14:paraId="57E20A94">
      <w:pPr>
        <w:ind w:right="33" w:firstLine="709"/>
        <w:jc w:val="both"/>
        <w:rPr>
          <w:i/>
        </w:rPr>
      </w:pPr>
      <w:r>
        <w:t xml:space="preserve">2.1. Цена Контракта составляет </w:t>
      </w:r>
      <w:r>
        <w:rPr>
          <w:rFonts w:hint="default"/>
          <w:lang w:val="ru-RU"/>
        </w:rPr>
        <w:t>______________________</w:t>
      </w:r>
      <w:r>
        <w:t xml:space="preserve">рублей </w:t>
      </w:r>
      <w:r>
        <w:rPr>
          <w:rFonts w:hint="default"/>
          <w:lang w:val="ru-RU"/>
        </w:rPr>
        <w:t>_____</w:t>
      </w:r>
      <w:r>
        <w:t xml:space="preserve"> копеек, </w:t>
      </w:r>
      <w:r>
        <w:rPr>
          <w:spacing w:val="-3"/>
        </w:rPr>
        <w:t xml:space="preserve">включая НДС в сумме </w:t>
      </w:r>
      <w:r>
        <w:rPr>
          <w:rFonts w:hint="default"/>
          <w:spacing w:val="-3"/>
          <w:lang w:val="ru-RU"/>
        </w:rPr>
        <w:t>_____________</w:t>
      </w:r>
      <w:r>
        <w:t xml:space="preserve"> рублей </w:t>
      </w:r>
      <w:r>
        <w:rPr>
          <w:rFonts w:hint="default"/>
          <w:lang w:val="ru-RU"/>
        </w:rPr>
        <w:t>_____</w:t>
      </w:r>
      <w:r>
        <w:t xml:space="preserve"> копеек</w:t>
      </w:r>
      <w:r>
        <w:rPr>
          <w:rFonts w:hint="default"/>
          <w:lang w:val="ru-RU"/>
        </w:rPr>
        <w:t>/ НДС не облагается</w:t>
      </w:r>
      <w:r>
        <w:rPr>
          <w:i/>
        </w:rPr>
        <w:t xml:space="preserve">. </w:t>
      </w:r>
    </w:p>
    <w:p w14:paraId="4174CBA4">
      <w:pPr>
        <w:shd w:val="clear" w:color="auto" w:fill="FFFFFF"/>
        <w:ind w:firstLine="709"/>
        <w:jc w:val="both"/>
      </w:pPr>
      <w:r>
        <w:t xml:space="preserve">2.2. 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r>
        <w:fldChar w:fldCharType="begin"/>
      </w:r>
      <w:r>
        <w:instrText xml:space="preserve"> HYPERLINK "garantF1://10800200.1" </w:instrText>
      </w:r>
      <w:r>
        <w:fldChar w:fldCharType="separate"/>
      </w:r>
      <w:r>
        <w:rPr>
          <w:shd w:val="clear" w:color="auto" w:fill="FFFFFF"/>
        </w:rPr>
        <w:t>законодательством</w:t>
      </w:r>
      <w:r>
        <w:rPr>
          <w:shd w:val="clear" w:color="auto" w:fill="FFFFFF"/>
        </w:rPr>
        <w:fldChar w:fldCharType="end"/>
      </w:r>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 заказчиком</w:t>
      </w:r>
      <w:r>
        <w:rPr>
          <w:shd w:val="clear" w:color="auto" w:fill="FFFFFF"/>
        </w:rPr>
        <w:t>.</w:t>
      </w:r>
    </w:p>
    <w:p w14:paraId="76226514">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14:paraId="327B4056">
      <w:pPr>
        <w:tabs>
          <w:tab w:val="left" w:pos="720"/>
        </w:tabs>
        <w:autoSpaceDE w:val="0"/>
        <w:ind w:firstLine="709"/>
        <w:jc w:val="both"/>
      </w:pPr>
      <w:r>
        <w:t xml:space="preserve">2.4. Цена Контракта является твёрдой и определяется на весь срок его исполнения. </w:t>
      </w:r>
    </w:p>
    <w:p w14:paraId="372BD2C0">
      <w:pPr>
        <w:ind w:firstLine="709"/>
      </w:pPr>
      <w:r>
        <w:t>2.5. Цена контракта выражается в валюте Российской Федерации.</w:t>
      </w:r>
    </w:p>
    <w:p w14:paraId="1297B552">
      <w:pPr>
        <w:widowControl w:val="0"/>
        <w:autoSpaceDE w:val="0"/>
        <w:ind w:firstLine="709"/>
        <w:jc w:val="both"/>
      </w:pPr>
      <w:r>
        <w:t xml:space="preserve">2.6. Источник финансирования -  Внебюджетные средства. Средства бюджетных учреждений. Субсидия на финансовое обеспечение выполнения государственного задания </w:t>
      </w:r>
      <w:r>
        <w:rPr>
          <w:spacing w:val="-4"/>
          <w:lang w:eastAsia="ru-RU"/>
        </w:rPr>
        <w:t>на 2024 г. КВР: 244. КОСГУ: 225</w:t>
      </w:r>
      <w:r>
        <w:t>.</w:t>
      </w:r>
    </w:p>
    <w:p w14:paraId="18F9E8BF">
      <w:pPr>
        <w:widowControl w:val="0"/>
        <w:autoSpaceDE w:val="0"/>
        <w:ind w:firstLine="709"/>
        <w:jc w:val="both"/>
      </w:pPr>
      <w:r>
        <w:t>2.7. Аванс по Контракту не предусмотрен. Форма оплаты: безналичный расчёт.</w:t>
      </w:r>
    </w:p>
    <w:p w14:paraId="52B46104">
      <w:pPr>
        <w:ind w:firstLine="709"/>
        <w:jc w:val="both"/>
      </w:pPr>
      <w:r>
        <w:t>2.8. Оплата осуществляется по факту оказанных услуг не более чем в течение 10 рабочих дней, с даты подписания Заказчиком акта оказанных услуг (или универсального передаточного документа).</w:t>
      </w:r>
    </w:p>
    <w:p w14:paraId="7F2DD4E0">
      <w:pPr>
        <w:tabs>
          <w:tab w:val="left" w:pos="10680"/>
        </w:tabs>
        <w:ind w:right="33" w:firstLine="709"/>
        <w:jc w:val="both"/>
      </w:pPr>
      <w:r>
        <w:t>2.9. Датой платежа считается дата списания денежных средств, с расчётного счета Заказчика.</w:t>
      </w:r>
    </w:p>
    <w:p w14:paraId="6E8653F4">
      <w:pPr>
        <w:tabs>
          <w:tab w:val="left" w:pos="10680"/>
        </w:tabs>
        <w:ind w:right="33" w:firstLine="589"/>
        <w:jc w:val="both"/>
        <w:rPr>
          <w:b/>
        </w:rPr>
      </w:pPr>
    </w:p>
    <w:p w14:paraId="1A7D6020">
      <w:pPr>
        <w:widowControl w:val="0"/>
        <w:jc w:val="center"/>
        <w:rPr>
          <w:b/>
          <w:bCs/>
        </w:rPr>
      </w:pPr>
      <w:r>
        <w:rPr>
          <w:b/>
          <w:bCs/>
        </w:rPr>
        <w:t>3. КАЧЕСТВО УСЛУГИ. ГАРАНТИЙНЫЕ ОБЯЗАТЕЛЬСТВА</w:t>
      </w:r>
    </w:p>
    <w:p w14:paraId="2711F960">
      <w:pPr>
        <w:widowControl w:val="0"/>
        <w:ind w:firstLine="709"/>
        <w:jc w:val="both"/>
      </w:pPr>
      <w:r>
        <w:t>3.1.  Качество предоставляемой услуги должно соответствовать заявленным в Спецификации (Приложение №1) характеристикам и требованиям.</w:t>
      </w:r>
    </w:p>
    <w:p w14:paraId="4A323B28">
      <w:pPr>
        <w:widowControl w:val="0"/>
        <w:ind w:firstLine="709"/>
        <w:jc w:val="both"/>
      </w:pPr>
      <w:r>
        <w:t>3.2. </w:t>
      </w:r>
      <w:r>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14:paraId="76C542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14:paraId="2D9339AC">
      <w:pPr>
        <w:widowControl w:val="0"/>
        <w:jc w:val="center"/>
        <w:rPr>
          <w:b/>
          <w:bCs/>
        </w:rPr>
      </w:pPr>
      <w:r>
        <w:rPr>
          <w:b/>
          <w:bCs/>
        </w:rPr>
        <w:t>4. СРОКИ, МЕСТО ОКАЗАНИЯ УСЛУГИ И ПОРЯДОК ПРИЕМКИ ОКАЗАННОЙ УСЛУГИ</w:t>
      </w:r>
    </w:p>
    <w:p w14:paraId="40D664A9">
      <w:pPr>
        <w:widowControl w:val="0"/>
        <w:autoSpaceDE w:val="0"/>
        <w:ind w:firstLine="709"/>
        <w:jc w:val="both"/>
      </w:pPr>
      <w:r>
        <w:t>4.1. Срок оказания услуги: услуги оказываются,  по заявке Заказчика, с даты заключения Контракта по 30.11.2024 г.</w:t>
      </w:r>
    </w:p>
    <w:p w14:paraId="423AD72B">
      <w:pPr>
        <w:widowControl w:val="0"/>
        <w:autoSpaceDE w:val="0"/>
        <w:ind w:firstLine="709"/>
        <w:jc w:val="both"/>
      </w:pPr>
      <w:r>
        <w:t xml:space="preserve">4.2. Место оказания услуги: </w:t>
      </w:r>
      <w:r>
        <w:rPr>
          <w:lang w:val="ru-RU"/>
        </w:rPr>
        <w:t>Лаборатория</w:t>
      </w:r>
      <w:r>
        <w:rPr>
          <w:rFonts w:hint="default"/>
          <w:lang w:val="ru-RU"/>
        </w:rPr>
        <w:t xml:space="preserve"> Исполнителя в Санкт-Петербурге.</w:t>
      </w:r>
      <w:r>
        <w:rPr>
          <w:rFonts w:eastAsia="Andale Sans UI"/>
          <w:bCs/>
          <w:kern w:val="1"/>
        </w:rPr>
        <w:t xml:space="preserve"> Результат лабораторных исследований предоставляется Исполнителем по адресу г. Санкт-Петербург, пер. Майков, д. 9.</w:t>
      </w:r>
    </w:p>
    <w:p w14:paraId="6E2B1549">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4.3. По результатам оказания услуг Исполнитель передаёт Заказчику комплект документов, в составе:</w:t>
      </w:r>
    </w:p>
    <w:p w14:paraId="4AC66BE7">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14:paraId="4F4E6500">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14:paraId="5F7C5561">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 xml:space="preserve">- документы, предусмотренные </w:t>
      </w:r>
      <w:r>
        <w:t>Спецификацией (Приложение №1 к Контракту);</w:t>
      </w:r>
    </w:p>
    <w:p w14:paraId="7001640A">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 не превышающий 20 рабочих дней.</w:t>
      </w:r>
    </w:p>
    <w:p w14:paraId="7C35A232">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14:paraId="44714A2F">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4.6.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tab/>
      </w:r>
    </w:p>
    <w:p w14:paraId="004B4EE2">
      <w:pPr>
        <w:pStyle w:val="22"/>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14:paraId="1FD2C9EC">
      <w:pPr>
        <w:widowControl w:val="0"/>
        <w:shd w:val="clear" w:color="auto" w:fill="FFFFFF"/>
        <w:jc w:val="center"/>
        <w:rPr>
          <w:b/>
          <w:bCs/>
        </w:rPr>
      </w:pPr>
      <w:r>
        <w:rPr>
          <w:b/>
          <w:bCs/>
        </w:rPr>
        <w:t>5. ПРАВА И ОБЯЗАННОСТИ ЗАКАЗЧИКА</w:t>
      </w:r>
    </w:p>
    <w:p w14:paraId="27F38610">
      <w:pPr>
        <w:widowControl w:val="0"/>
        <w:shd w:val="clear" w:color="auto" w:fill="FFFFFF"/>
        <w:ind w:firstLine="709"/>
        <w:jc w:val="both"/>
      </w:pPr>
      <w:r>
        <w:t>5.1. Заказчик по настоящему Контракту вправе:</w:t>
      </w:r>
    </w:p>
    <w:p w14:paraId="40BD3E2C">
      <w:pPr>
        <w:widowControl w:val="0"/>
        <w:shd w:val="clear" w:color="auto" w:fill="FFFFFF"/>
        <w:autoSpaceDE w:val="0"/>
        <w:ind w:firstLine="709"/>
        <w:jc w:val="both"/>
      </w:pPr>
      <w:r>
        <w:t>5.1.1. Требовать от Исполнителя предоставления надлежаще оформленных документов, подтверждающих исполнение принятых им обязательств.</w:t>
      </w:r>
    </w:p>
    <w:p w14:paraId="18D93EEF">
      <w:pPr>
        <w:ind w:firstLine="709"/>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w:t>
      </w:r>
    </w:p>
    <w:p w14:paraId="34CDB895">
      <w:pPr>
        <w:widowControl w:val="0"/>
        <w:shd w:val="clear" w:color="auto" w:fill="FFFFFF"/>
        <w:autoSpaceDE w:val="0"/>
        <w:ind w:firstLine="709"/>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14:paraId="6BDA0664">
      <w:pPr>
        <w:widowControl w:val="0"/>
        <w:shd w:val="clear" w:color="auto" w:fill="FFFFFF"/>
        <w:autoSpaceDE w:val="0"/>
        <w:ind w:firstLine="709"/>
        <w:jc w:val="both"/>
      </w:pPr>
      <w:r>
        <w:t>5.1.4. Контролировать ход оказания Услуги, соблюдение срока оказания, проверять соответствие Услуги условиям настоящего Контракта, Спецификации.</w:t>
      </w:r>
    </w:p>
    <w:p w14:paraId="38806976">
      <w:pPr>
        <w:widowControl w:val="0"/>
        <w:shd w:val="clear" w:color="auto" w:fill="FFFFFF"/>
        <w:autoSpaceDE w:val="0"/>
        <w:ind w:firstLine="709"/>
        <w:jc w:val="both"/>
      </w:pPr>
      <w:r>
        <w:t>5.1.5. При обнаружении недостатков оказания Услуги, требовать их устранения. Требование подлежит обязательному выполнению Исполнителем.</w:t>
      </w:r>
    </w:p>
    <w:p w14:paraId="10C20D5B">
      <w:pPr>
        <w:widowControl w:val="0"/>
        <w:shd w:val="clear" w:color="auto" w:fill="FFFFFF"/>
        <w:autoSpaceDE w:val="0"/>
        <w:ind w:firstLine="709"/>
        <w:jc w:val="both"/>
      </w:pPr>
      <w:r>
        <w:t>5.1.6. Осуществлять иные права в соответствии с действующим законодательством Российской Федерации.</w:t>
      </w:r>
    </w:p>
    <w:p w14:paraId="2F880F72">
      <w:pPr>
        <w:widowControl w:val="0"/>
        <w:shd w:val="clear" w:color="auto" w:fill="FFFFFF"/>
        <w:ind w:firstLine="709"/>
        <w:jc w:val="both"/>
      </w:pPr>
      <w:r>
        <w:t>5.2. Заказчик по настоящему Контракту обязан:</w:t>
      </w:r>
    </w:p>
    <w:p w14:paraId="15368DC6">
      <w:pPr>
        <w:widowControl w:val="0"/>
        <w:shd w:val="clear" w:color="auto" w:fill="FFFFFF"/>
        <w:ind w:firstLine="709"/>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настоящим Контрактом.</w:t>
      </w:r>
    </w:p>
    <w:p w14:paraId="30B851C4">
      <w:pPr>
        <w:ind w:firstLine="709"/>
        <w:jc w:val="both"/>
      </w:pPr>
      <w:r>
        <w:t>5.2.2. Своевременно сообщать Исполнителю в письменной форме о недостатках, выявленных в ходе оказания услуг или приемке исполненных обязательств.</w:t>
      </w:r>
    </w:p>
    <w:p w14:paraId="6E0E7E18">
      <w:pPr>
        <w:pStyle w:val="18"/>
        <w:ind w:firstLine="709"/>
        <w:rPr>
          <w:sz w:val="24"/>
          <w:szCs w:val="24"/>
        </w:rPr>
      </w:pPr>
      <w:r>
        <w:rPr>
          <w:sz w:val="24"/>
          <w:szCs w:val="24"/>
        </w:rPr>
        <w:t>5.2.3.  Предоставить Исполнителю всю необходимую для оказания услуг информацию и документы.</w:t>
      </w:r>
    </w:p>
    <w:p w14:paraId="102D0D5E">
      <w:pPr>
        <w:widowControl w:val="0"/>
        <w:shd w:val="clear" w:color="auto" w:fill="FFFFFF"/>
        <w:ind w:firstLine="709"/>
        <w:jc w:val="both"/>
      </w:pPr>
      <w:r>
        <w:t>5.2.4. Надлежаще исполнять иные принятые на себя обязательства.</w:t>
      </w:r>
    </w:p>
    <w:p w14:paraId="0E1B0066">
      <w:pPr>
        <w:widowControl w:val="0"/>
        <w:shd w:val="clear" w:color="auto" w:fill="FFFFFF"/>
        <w:ind w:firstLine="709"/>
        <w:jc w:val="both"/>
      </w:pPr>
    </w:p>
    <w:p w14:paraId="232E41B5">
      <w:pPr>
        <w:widowControl w:val="0"/>
        <w:shd w:val="clear" w:color="auto" w:fill="FFFFFF"/>
        <w:jc w:val="center"/>
        <w:rPr>
          <w:b/>
          <w:bCs/>
        </w:rPr>
      </w:pPr>
      <w:r>
        <w:rPr>
          <w:b/>
          <w:bCs/>
        </w:rPr>
        <w:t>6. ПРАВА И ОБЯЗАННОСТИ ИСПОЛНИТЕЛЯ</w:t>
      </w:r>
    </w:p>
    <w:p w14:paraId="29222866">
      <w:pPr>
        <w:widowControl w:val="0"/>
        <w:shd w:val="clear" w:color="auto" w:fill="FFFFFF"/>
        <w:ind w:firstLine="709"/>
        <w:jc w:val="both"/>
      </w:pPr>
      <w:r>
        <w:t>6.1. Исполнитель по настоящему Контракту вправе:</w:t>
      </w:r>
    </w:p>
    <w:p w14:paraId="21739902">
      <w:pPr>
        <w:widowControl w:val="0"/>
        <w:shd w:val="clear" w:color="auto" w:fill="FFFFFF"/>
        <w:autoSpaceDE w:val="0"/>
        <w:ind w:firstLine="709"/>
        <w:jc w:val="both"/>
      </w:pPr>
      <w:r>
        <w:t>6.1.1. Запрашивать и получать в установленном порядке у Заказчика документацию и информацию, необходимые для оказания услуг по настоящему Контракту.</w:t>
      </w:r>
    </w:p>
    <w:p w14:paraId="41CCE95A">
      <w:pPr>
        <w:ind w:firstLine="709"/>
        <w:jc w:val="both"/>
      </w:pPr>
      <w:r>
        <w:t>6.1.2. Требовать от Заказчика надлежащего исполнения, принятых на себя обязательств по настоящему Контракту.</w:t>
      </w:r>
    </w:p>
    <w:p w14:paraId="15DF7650">
      <w:pPr>
        <w:widowControl w:val="0"/>
        <w:shd w:val="clear" w:color="auto" w:fill="FFFFFF"/>
        <w:autoSpaceDE w:val="0"/>
        <w:ind w:firstLine="709"/>
        <w:jc w:val="both"/>
      </w:pPr>
      <w:r>
        <w:t>6.1.3. Осуществлять иные права в соответствии с действующим законодательством Российской Федерации.</w:t>
      </w:r>
    </w:p>
    <w:p w14:paraId="5868D841">
      <w:pPr>
        <w:widowControl w:val="0"/>
        <w:shd w:val="clear" w:color="auto" w:fill="FFFFFF"/>
        <w:autoSpaceDE w:val="0"/>
        <w:ind w:firstLine="709"/>
        <w:jc w:val="both"/>
      </w:pPr>
      <w:r>
        <w:t>6.2. Исполнитель по настоящему Контракту обязан:</w:t>
      </w:r>
    </w:p>
    <w:p w14:paraId="6781B318">
      <w:pPr>
        <w:widowControl w:val="0"/>
        <w:shd w:val="clear" w:color="auto" w:fill="FFFFFF"/>
        <w:autoSpaceDE w:val="0"/>
        <w:ind w:firstLine="709"/>
        <w:jc w:val="both"/>
      </w:pPr>
      <w:r>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14:paraId="099F4A48">
      <w:pPr>
        <w:widowControl w:val="0"/>
        <w:shd w:val="clear" w:color="auto" w:fill="FFFFFF"/>
        <w:autoSpaceDE w:val="0"/>
        <w:ind w:firstLine="709"/>
        <w:jc w:val="both"/>
      </w:pPr>
      <w:r>
        <w:t>6.2.2. В срок, установленный в письменном запросе Заказчика, предоставлять информацию о ходе исполнения принятых на себя обязательств.</w:t>
      </w:r>
    </w:p>
    <w:p w14:paraId="43378950">
      <w:pPr>
        <w:widowControl w:val="0"/>
        <w:shd w:val="clear" w:color="auto" w:fill="FFFFFF"/>
        <w:autoSpaceDE w:val="0"/>
        <w:ind w:firstLine="709"/>
        <w:jc w:val="both"/>
      </w:pPr>
      <w:r>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14:paraId="2014F0EF">
      <w:pPr>
        <w:widowControl w:val="0"/>
        <w:ind w:firstLine="709"/>
        <w:jc w:val="both"/>
      </w:pPr>
      <w:r>
        <w:t>6.2.4. Предоставить надлежаще оформленные документы, предусмотренные настоящим Контрактом.</w:t>
      </w:r>
    </w:p>
    <w:p w14:paraId="4DD891F1">
      <w:pPr>
        <w:widowControl w:val="0"/>
        <w:shd w:val="clear" w:color="auto" w:fill="FFFFFF"/>
        <w:jc w:val="center"/>
        <w:rPr>
          <w:b/>
          <w:bCs/>
        </w:rPr>
      </w:pPr>
    </w:p>
    <w:p w14:paraId="3F1A0355">
      <w:pPr>
        <w:widowControl w:val="0"/>
        <w:shd w:val="clear" w:color="auto" w:fill="FFFFFF"/>
        <w:jc w:val="center"/>
        <w:rPr>
          <w:b/>
          <w:bCs/>
        </w:rPr>
      </w:pPr>
      <w:r>
        <w:rPr>
          <w:b/>
          <w:bCs/>
        </w:rPr>
        <w:t>7. ОТВЕТСТВЕННОСТЬ СТОРОН</w:t>
      </w:r>
    </w:p>
    <w:p w14:paraId="6D9CC9E4">
      <w:pPr>
        <w:ind w:firstLine="708"/>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F3FB4AE">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52E4870">
      <w:pPr>
        <w:ind w:firstLine="708"/>
        <w:jc w:val="both"/>
      </w:pPr>
      <w:r>
        <w:t>7.3.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DCBFAF5">
      <w:pPr>
        <w:ind w:firstLine="708"/>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ABEFEDD">
      <w:pPr>
        <w:ind w:firstLine="708"/>
        <w:jc w:val="both"/>
      </w:pPr>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r>
        <w:rPr>
          <w:i/>
        </w:rPr>
        <w:t>.</w:t>
      </w:r>
    </w:p>
    <w:p w14:paraId="0A6F3228">
      <w:pPr>
        <w:ind w:firstLine="708"/>
        <w:jc w:val="both"/>
      </w:pPr>
      <w:r>
        <w:t>7.6. В случае нарушения Исполнителем срока представления документов, предусмотренных Контрактом, Заказчик не несет ответственность, установленную пунктами 7.4 - 7.5 Контракта.</w:t>
      </w:r>
    </w:p>
    <w:p w14:paraId="4468831C">
      <w:pPr>
        <w:ind w:firstLine="708"/>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D0EDF4">
      <w:pPr>
        <w:ind w:firstLine="708"/>
        <w:jc w:val="both"/>
      </w:pPr>
      <w: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3F2487B">
      <w:pPr>
        <w:ind w:firstLine="708"/>
        <w:jc w:val="both"/>
      </w:pPr>
      <w: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D59869E">
      <w:pPr>
        <w:ind w:firstLine="708"/>
        <w:jc w:val="both"/>
      </w:pPr>
      <w: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14:paraId="108312A4">
      <w:pPr>
        <w:ind w:firstLine="708"/>
        <w:jc w:val="both"/>
      </w:pPr>
      <w: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2B6CE502">
      <w:pPr>
        <w:ind w:firstLine="708"/>
        <w:jc w:val="both"/>
      </w:pPr>
      <w: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B81BB9">
      <w:pPr>
        <w:ind w:firstLine="708"/>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5F33AA">
      <w:pPr>
        <w:tabs>
          <w:tab w:val="left" w:pos="360"/>
          <w:tab w:val="left" w:pos="600"/>
          <w:tab w:val="left" w:pos="720"/>
        </w:tabs>
        <w:ind w:firstLine="709"/>
        <w:jc w:val="both"/>
      </w:pPr>
      <w:r>
        <w:t>7.14. Уплата неустойки (штрафа, пени) не освобождает Стороны от исполнения обязательств по Контракту.</w:t>
      </w:r>
    </w:p>
    <w:p w14:paraId="40161116">
      <w:pPr>
        <w:tabs>
          <w:tab w:val="left" w:pos="360"/>
          <w:tab w:val="left" w:pos="600"/>
          <w:tab w:val="left" w:pos="720"/>
        </w:tabs>
        <w:ind w:firstLine="709"/>
        <w:jc w:val="both"/>
      </w:pPr>
      <w:r>
        <w:t>7.15. Неустойки (пени, штрафы) уплачиваются виновной стороной на основании требования (претензии) об уплате неустойки (пени, штрафа).</w:t>
      </w:r>
    </w:p>
    <w:p w14:paraId="65D505F8">
      <w:pPr>
        <w:tabs>
          <w:tab w:val="left" w:pos="360"/>
          <w:tab w:val="left" w:pos="600"/>
          <w:tab w:val="left" w:pos="720"/>
        </w:tabs>
        <w:ind w:firstLine="709"/>
        <w:jc w:val="both"/>
      </w:pPr>
      <w:r>
        <w:t>7.16. В случае если Исполнитель в добровольном порядке в установленный Заказчиком срок не оплатил неустойку (штраф,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14:paraId="62E391F3">
      <w:pPr>
        <w:tabs>
          <w:tab w:val="left" w:pos="360"/>
          <w:tab w:val="left" w:pos="600"/>
          <w:tab w:val="left" w:pos="720"/>
        </w:tabs>
        <w:ind w:firstLine="709"/>
        <w:jc w:val="both"/>
      </w:pPr>
      <w:r>
        <w:t>7.17.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14:paraId="5F286177">
      <w:pPr>
        <w:tabs>
          <w:tab w:val="left" w:pos="360"/>
          <w:tab w:val="left" w:pos="600"/>
          <w:tab w:val="left" w:pos="720"/>
        </w:tabs>
        <w:jc w:val="both"/>
        <w:rPr>
          <w:b/>
        </w:rPr>
      </w:pPr>
      <w:r>
        <w:tab/>
      </w:r>
      <w:r>
        <w:t xml:space="preserve">  </w:t>
      </w:r>
    </w:p>
    <w:p w14:paraId="329C2FC2">
      <w:pPr>
        <w:widowControl w:val="0"/>
        <w:jc w:val="center"/>
        <w:rPr>
          <w:b/>
          <w:bCs/>
        </w:rPr>
      </w:pPr>
      <w:r>
        <w:rPr>
          <w:b/>
          <w:bCs/>
        </w:rPr>
        <w:t>8. ФОРС-МАЖОРНЫЕ ОБСТОЯТЕЛЬСТВА</w:t>
      </w:r>
    </w:p>
    <w:p w14:paraId="63C3717A">
      <w:pPr>
        <w:widowControl w:val="0"/>
        <w:ind w:firstLine="709"/>
        <w:jc w:val="both"/>
      </w:pPr>
      <w: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7386095">
      <w:pPr>
        <w:widowControl w:val="0"/>
        <w:ind w:firstLine="709"/>
        <w:jc w:val="both"/>
      </w:pPr>
      <w: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50803029">
      <w:pPr>
        <w:widowControl w:val="0"/>
        <w:ind w:firstLine="709"/>
        <w:jc w:val="both"/>
      </w:pPr>
      <w: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40E0681">
      <w:pPr>
        <w:widowControl w:val="0"/>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853060">
      <w:pPr>
        <w:widowControl w:val="0"/>
        <w:ind w:firstLine="709"/>
        <w:jc w:val="both"/>
      </w:pPr>
      <w: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21FAB604">
      <w:pPr>
        <w:widowControl w:val="0"/>
        <w:ind w:firstLine="709"/>
        <w:jc w:val="both"/>
      </w:pPr>
      <w: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BD1314C">
      <w:pPr>
        <w:widowControl w:val="0"/>
        <w:ind w:firstLine="709"/>
        <w:jc w:val="both"/>
        <w:rPr>
          <w:b/>
          <w:bCs/>
        </w:rPr>
      </w:pPr>
      <w: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2E909CB">
      <w:pPr>
        <w:widowControl w:val="0"/>
        <w:ind w:firstLine="709"/>
        <w:jc w:val="both"/>
        <w:rPr>
          <w:b/>
          <w:bCs/>
        </w:rPr>
      </w:pPr>
    </w:p>
    <w:p w14:paraId="505A8F63">
      <w:pPr>
        <w:widowControl w:val="0"/>
        <w:jc w:val="center"/>
        <w:rPr>
          <w:b/>
          <w:bCs/>
        </w:rPr>
      </w:pPr>
      <w:r>
        <w:rPr>
          <w:b/>
          <w:bCs/>
        </w:rPr>
        <w:t>9. УВЕДОМЛЕНИЯ И ИЗВЕЩЕНИЯ</w:t>
      </w:r>
    </w:p>
    <w:p w14:paraId="448C4BD0">
      <w:pPr>
        <w:widowControl w:val="0"/>
        <w:ind w:firstLine="709"/>
        <w:jc w:val="both"/>
      </w:pPr>
      <w: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8CDE2E5">
      <w:pPr>
        <w:widowControl w:val="0"/>
        <w:ind w:firstLine="709"/>
        <w:jc w:val="both"/>
        <w:rPr>
          <w:b/>
          <w:bCs/>
        </w:rPr>
      </w:pPr>
    </w:p>
    <w:p w14:paraId="4712A05F">
      <w:pPr>
        <w:widowControl w:val="0"/>
        <w:ind w:firstLine="709"/>
        <w:jc w:val="center"/>
        <w:rPr>
          <w:b/>
          <w:bCs/>
        </w:rPr>
      </w:pPr>
      <w:r>
        <w:rPr>
          <w:b/>
          <w:bCs/>
        </w:rPr>
        <w:t>10. РАЗРЕШЕНИЕ СПОРОВ</w:t>
      </w:r>
    </w:p>
    <w:p w14:paraId="5334A334">
      <w:pPr>
        <w:widowControl w:val="0"/>
        <w:ind w:firstLine="709"/>
        <w:jc w:val="both"/>
      </w:pPr>
      <w: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16B41397">
      <w:pPr>
        <w:shd w:val="clear" w:color="auto" w:fill="FFFFFF"/>
        <w:ind w:firstLine="709"/>
        <w:jc w:val="both"/>
      </w:pPr>
      <w:r>
        <w:t xml:space="preserve">10.2.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города Санкт-Петербурга и Ленинградской области</w:t>
      </w:r>
      <w:r>
        <w:t>.</w:t>
      </w:r>
    </w:p>
    <w:p w14:paraId="3FAF40E1">
      <w:pPr>
        <w:widowControl w:val="0"/>
        <w:autoSpaceDE w:val="0"/>
        <w:jc w:val="both"/>
      </w:pPr>
    </w:p>
    <w:p w14:paraId="0B0CC93A">
      <w:pPr>
        <w:tabs>
          <w:tab w:val="left" w:pos="480"/>
        </w:tabs>
        <w:jc w:val="center"/>
        <w:rPr>
          <w:b/>
        </w:rPr>
      </w:pPr>
      <w:r>
        <w:rPr>
          <w:b/>
          <w:bCs/>
        </w:rPr>
        <w:t xml:space="preserve">11.  </w:t>
      </w:r>
      <w:r>
        <w:rPr>
          <w:b/>
        </w:rPr>
        <w:t>РАСТОРЖЕНИЕ КОНТРАКТА</w:t>
      </w:r>
    </w:p>
    <w:p w14:paraId="37A7CA64">
      <w:pPr>
        <w:pStyle w:val="29"/>
        <w:ind w:firstLine="709"/>
        <w:rPr>
          <w:spacing w:val="-3"/>
          <w:lang w:eastAsia="ar-SA"/>
        </w:rPr>
      </w:pPr>
      <w:r>
        <w:rPr>
          <w:spacing w:val="-3"/>
          <w:lang w:eastAsia="ar-SA"/>
        </w:rPr>
        <w:t>11.1.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20CB666">
      <w:pPr>
        <w:pStyle w:val="29"/>
        <w:ind w:firstLine="709"/>
      </w:pPr>
      <w:r>
        <w:t>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01A952F0">
      <w:pPr>
        <w:autoSpaceDE w:val="0"/>
        <w:autoSpaceDN w:val="0"/>
        <w:adjustRightInd w:val="0"/>
        <w:jc w:val="center"/>
        <w:outlineLvl w:val="0"/>
        <w:rPr>
          <w:b/>
          <w:bCs/>
        </w:rPr>
      </w:pPr>
    </w:p>
    <w:p w14:paraId="1F254CDB">
      <w:pPr>
        <w:widowControl w:val="0"/>
        <w:jc w:val="center"/>
        <w:rPr>
          <w:b/>
          <w:bCs/>
        </w:rPr>
      </w:pPr>
      <w:r>
        <w:rPr>
          <w:b/>
          <w:bCs/>
        </w:rPr>
        <w:t>12. ДЕЙСТВИЕ КОНТРАКТА</w:t>
      </w:r>
    </w:p>
    <w:p w14:paraId="67684FE6">
      <w:pPr>
        <w:jc w:val="both"/>
      </w:pPr>
      <w:r>
        <w:tab/>
      </w:r>
      <w:r>
        <w:t xml:space="preserve">12.1. </w:t>
      </w:r>
      <w:r>
        <w:rPr>
          <w:rFonts w:eastAsia="Arial"/>
        </w:rPr>
        <w:t>Настоящий Контракт считается заключенным с момента его подписания и размещения Заказчиком в единой информационной системе в сфере закупок и</w:t>
      </w:r>
      <w:r>
        <w:t xml:space="preserve"> действует по </w:t>
      </w:r>
      <w:r>
        <w:rPr>
          <w:rFonts w:hint="default"/>
          <w:lang w:val="ru-RU"/>
        </w:rPr>
        <w:t>15</w:t>
      </w:r>
      <w:r>
        <w:t xml:space="preserve">.12.2024 года. Окончание срока действия контракта </w:t>
      </w:r>
      <w:r>
        <w:rPr>
          <w:lang w:eastAsia="ru-RU"/>
        </w:rPr>
        <w:t>не освобождает стороны от ответственности за его нарушение</w:t>
      </w:r>
      <w:r>
        <w:t>, возникшие в период его действия.</w:t>
      </w:r>
    </w:p>
    <w:p w14:paraId="60C3A83C">
      <w:pPr>
        <w:widowControl w:val="0"/>
        <w:ind w:firstLine="709"/>
        <w:jc w:val="both"/>
      </w:pPr>
      <w:r>
        <w:t>12.2.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7FFAC661">
      <w:pPr>
        <w:widowControl w:val="0"/>
        <w:ind w:firstLine="709"/>
        <w:jc w:val="both"/>
        <w:rPr>
          <w:b/>
          <w:bCs/>
        </w:rPr>
      </w:pPr>
    </w:p>
    <w:p w14:paraId="3485189A">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14:paraId="3A231B9B">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D590C6D">
      <w:pPr>
        <w:widowControl w:val="0"/>
        <w:tabs>
          <w:tab w:val="left" w:pos="142"/>
          <w:tab w:val="left" w:pos="360"/>
          <w:tab w:val="left" w:pos="851"/>
          <w:tab w:val="left" w:pos="1134"/>
          <w:tab w:val="left" w:pos="1276"/>
          <w:tab w:val="left" w:pos="1418"/>
        </w:tabs>
        <w:ind w:firstLine="720"/>
        <w:jc w:val="both"/>
      </w:pPr>
      <w:r>
        <w:t>13.2.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0659791B">
      <w:pPr>
        <w:widowControl w:val="0"/>
        <w:tabs>
          <w:tab w:val="left" w:pos="142"/>
          <w:tab w:val="left" w:pos="360"/>
          <w:tab w:val="left" w:pos="851"/>
          <w:tab w:val="left" w:pos="1134"/>
          <w:tab w:val="left" w:pos="1276"/>
          <w:tab w:val="left" w:pos="1418"/>
        </w:tabs>
        <w:ind w:firstLine="720"/>
        <w:jc w:val="both"/>
      </w:pPr>
      <w:r>
        <w:t>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7025CB19">
      <w:pPr>
        <w:widowControl w:val="0"/>
        <w:tabs>
          <w:tab w:val="left" w:pos="142"/>
          <w:tab w:val="left" w:pos="360"/>
          <w:tab w:val="left" w:pos="851"/>
          <w:tab w:val="left" w:pos="1134"/>
          <w:tab w:val="left" w:pos="1276"/>
          <w:tab w:val="left" w:pos="1418"/>
        </w:tabs>
        <w:ind w:firstLine="720"/>
        <w:jc w:val="both"/>
      </w:pPr>
      <w: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10D77CE5">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3BEB3655">
      <w:pPr>
        <w:widowControl w:val="0"/>
        <w:ind w:firstLine="709"/>
        <w:jc w:val="both"/>
        <w:rPr>
          <w:b/>
          <w:bCs/>
        </w:rPr>
      </w:pPr>
    </w:p>
    <w:p w14:paraId="481709D9">
      <w:pPr>
        <w:widowControl w:val="0"/>
        <w:jc w:val="center"/>
        <w:rPr>
          <w:b/>
          <w:bCs/>
        </w:rPr>
      </w:pPr>
      <w:r>
        <w:rPr>
          <w:b/>
          <w:bCs/>
        </w:rPr>
        <w:t>14. ЗАКЛЮЧИТЕЛЬНЫЕ ПОЛОЖЕНИЯ</w:t>
      </w:r>
    </w:p>
    <w:p w14:paraId="0D4630C1">
      <w:pPr>
        <w:tabs>
          <w:tab w:val="left" w:pos="709"/>
        </w:tabs>
        <w:ind w:firstLine="709"/>
        <w:jc w:val="both"/>
      </w:pPr>
      <w:r>
        <w:t>14.1. Настоящий Контракт заключен в электронной форме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14:paraId="32690449">
      <w:pPr>
        <w:ind w:firstLine="709"/>
        <w:jc w:val="both"/>
      </w:pPr>
      <w:r>
        <w:t>14.2.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C1C7051">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14:paraId="5058DB67">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4A9AB0FC">
      <w:pPr>
        <w:ind w:firstLine="709"/>
        <w:jc w:val="both"/>
      </w:pPr>
      <w:r>
        <w:t>14.3. При изменении у какой-либо из Сторон адресов (реквизитов), номеров телефонов, через которые Сторонами осуществляется взаимодействие и обмен 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14:paraId="007C9A19">
      <w:pPr>
        <w:pStyle w:val="33"/>
        <w:ind w:firstLine="709"/>
        <w:jc w:val="both"/>
        <w:rPr>
          <w:rFonts w:ascii="Times New Roman" w:hAnsi="Times New Roman" w:cs="Times New Roman"/>
          <w:sz w:val="24"/>
          <w:szCs w:val="24"/>
        </w:rPr>
      </w:pPr>
      <w:r>
        <w:rPr>
          <w:rFonts w:ascii="Times New Roman" w:hAnsi="Times New Roman" w:cs="Times New Roman"/>
          <w:sz w:val="24"/>
          <w:szCs w:val="24"/>
        </w:rPr>
        <w:t>14.4.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63C8D2A">
      <w:pPr>
        <w:ind w:firstLine="709"/>
        <w:jc w:val="both"/>
      </w:pPr>
      <w:r>
        <w:t>14.5.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14:paraId="677B4997">
      <w:pPr>
        <w:widowControl w:val="0"/>
        <w:ind w:firstLine="709"/>
        <w:rPr>
          <w:b/>
          <w:bCs/>
        </w:rPr>
      </w:pPr>
    </w:p>
    <w:p w14:paraId="3D843FB2">
      <w:pPr>
        <w:widowControl w:val="0"/>
        <w:jc w:val="center"/>
        <w:rPr>
          <w:b/>
          <w:bCs/>
        </w:rPr>
      </w:pPr>
      <w:r>
        <w:rPr>
          <w:b/>
          <w:bCs/>
        </w:rPr>
        <w:t>15. ЮРИДИЧЕСКИЕ АДРЕСА, ПЛАТЕЖНЫЕ РЕКВИЗИТЫ, ПЕЧАТИ И ПОДПИСИ СТОРОН</w:t>
      </w:r>
    </w:p>
    <w:p w14:paraId="4B0E07B4">
      <w:pPr>
        <w:widowControl w:val="0"/>
        <w:jc w:val="center"/>
        <w:rPr>
          <w:b/>
          <w:bCs/>
        </w:rPr>
      </w:pPr>
    </w:p>
    <w:tbl>
      <w:tblPr>
        <w:tblStyle w:val="3"/>
        <w:tblW w:w="10012" w:type="dxa"/>
        <w:tblInd w:w="0" w:type="dxa"/>
        <w:tblLayout w:type="fixed"/>
        <w:tblCellMar>
          <w:top w:w="0" w:type="dxa"/>
          <w:left w:w="108" w:type="dxa"/>
          <w:bottom w:w="0" w:type="dxa"/>
          <w:right w:w="108" w:type="dxa"/>
        </w:tblCellMar>
      </w:tblPr>
      <w:tblGrid>
        <w:gridCol w:w="5006"/>
        <w:gridCol w:w="5006"/>
      </w:tblGrid>
      <w:tr w14:paraId="47A2BA50">
        <w:tblPrEx>
          <w:tblCellMar>
            <w:top w:w="0" w:type="dxa"/>
            <w:left w:w="108" w:type="dxa"/>
            <w:bottom w:w="0" w:type="dxa"/>
            <w:right w:w="108" w:type="dxa"/>
          </w:tblCellMar>
        </w:tblPrEx>
        <w:trPr>
          <w:trHeight w:val="291" w:hRule="atLeast"/>
        </w:trPr>
        <w:tc>
          <w:tcPr>
            <w:tcW w:w="5006" w:type="dxa"/>
            <w:shd w:val="clear" w:color="auto" w:fill="auto"/>
          </w:tcPr>
          <w:p w14:paraId="3901DD69">
            <w:pPr>
              <w:pStyle w:val="20"/>
              <w:jc w:val="center"/>
              <w:rPr>
                <w:rFonts w:ascii="Times New Roman" w:hAnsi="Times New Roman" w:cs="Times New Roman"/>
                <w:b/>
                <w:bCs/>
                <w:sz w:val="24"/>
                <w:szCs w:val="24"/>
              </w:rPr>
            </w:pPr>
            <w:r>
              <w:rPr>
                <w:rFonts w:ascii="Times New Roman" w:hAnsi="Times New Roman" w:cs="Times New Roman"/>
                <w:bCs/>
                <w:sz w:val="24"/>
                <w:szCs w:val="24"/>
              </w:rPr>
              <w:t>Заказчик</w:t>
            </w:r>
          </w:p>
        </w:tc>
        <w:tc>
          <w:tcPr>
            <w:tcW w:w="5006" w:type="dxa"/>
            <w:shd w:val="clear" w:color="auto" w:fill="auto"/>
          </w:tcPr>
          <w:p w14:paraId="325A5ED1">
            <w:pPr>
              <w:widowControl w:val="0"/>
              <w:jc w:val="center"/>
            </w:pPr>
            <w:r>
              <w:rPr>
                <w:bCs/>
              </w:rPr>
              <w:t>Исполнитель</w:t>
            </w:r>
          </w:p>
        </w:tc>
      </w:tr>
      <w:tr w14:paraId="663DC965">
        <w:tblPrEx>
          <w:tblCellMar>
            <w:top w:w="0" w:type="dxa"/>
            <w:left w:w="108" w:type="dxa"/>
            <w:bottom w:w="0" w:type="dxa"/>
            <w:right w:w="108" w:type="dxa"/>
          </w:tblCellMar>
        </w:tblPrEx>
        <w:trPr>
          <w:trHeight w:val="5875" w:hRule="atLeast"/>
        </w:trPr>
        <w:tc>
          <w:tcPr>
            <w:tcW w:w="5006" w:type="dxa"/>
            <w:shd w:val="clear" w:color="auto" w:fill="auto"/>
          </w:tcPr>
          <w:p w14:paraId="0BA5D4F7">
            <w:pPr>
              <w:suppressAutoHyphens w:val="0"/>
              <w:rPr>
                <w:lang w:eastAsia="ru-RU"/>
              </w:rPr>
            </w:pPr>
            <w:r>
              <w:rPr>
                <w:lang w:eastAsia="ru-RU"/>
              </w:rPr>
              <w:t>СПб ГБУ«Юго-западное управление региональных дорог и благоустройства»</w:t>
            </w:r>
          </w:p>
          <w:p w14:paraId="1852DD6D">
            <w:pPr>
              <w:suppressAutoHyphens w:val="0"/>
              <w:rPr>
                <w:spacing w:val="-4"/>
                <w:lang w:eastAsia="ru-RU"/>
              </w:rPr>
            </w:pPr>
            <w:r>
              <w:rPr>
                <w:spacing w:val="-4"/>
                <w:lang w:eastAsia="ru-RU"/>
              </w:rPr>
              <w:t>198095, г. Санкт-Петербург, Майков переулок, д.9</w:t>
            </w:r>
          </w:p>
          <w:p w14:paraId="26359E0D">
            <w:pPr>
              <w:suppressAutoHyphens w:val="0"/>
              <w:rPr>
                <w:spacing w:val="-4"/>
                <w:lang w:eastAsia="ru-RU"/>
              </w:rPr>
            </w:pPr>
            <w:r>
              <w:rPr>
                <w:spacing w:val="-4"/>
                <w:lang w:eastAsia="ru-RU"/>
              </w:rPr>
              <w:t>ИНН 7805814492, КПП 780501001</w:t>
            </w:r>
          </w:p>
          <w:p w14:paraId="227105B2">
            <w:pPr>
              <w:suppressAutoHyphens w:val="0"/>
              <w:rPr>
                <w:spacing w:val="-4"/>
                <w:lang w:eastAsia="ru-RU"/>
              </w:rPr>
            </w:pPr>
            <w:r>
              <w:rPr>
                <w:spacing w:val="-4"/>
                <w:lang w:eastAsia="ru-RU"/>
              </w:rPr>
              <w:t>ОКПО 87984692, ОГРН 1247800033348</w:t>
            </w:r>
          </w:p>
          <w:p w14:paraId="1D5DB7ED">
            <w:pPr>
              <w:suppressAutoHyphens w:val="0"/>
              <w:rPr>
                <w:spacing w:val="-4"/>
                <w:lang w:eastAsia="ru-RU"/>
              </w:rPr>
            </w:pPr>
            <w:r>
              <w:rPr>
                <w:spacing w:val="-4"/>
                <w:lang w:eastAsia="ru-RU"/>
              </w:rPr>
              <w:t>ОКТМО 40339000</w:t>
            </w:r>
          </w:p>
          <w:p w14:paraId="7D0AD577">
            <w:pPr>
              <w:suppressAutoHyphens w:val="0"/>
              <w:rPr>
                <w:color w:val="000000"/>
              </w:rPr>
            </w:pPr>
            <w:r>
              <w:rPr>
                <w:color w:val="000000"/>
              </w:rPr>
              <w:t>Комитет Финансов Санкт-Петербурга</w:t>
            </w:r>
          </w:p>
          <w:p w14:paraId="0143ECF8">
            <w:pPr>
              <w:suppressAutoHyphens w:val="0"/>
              <w:rPr>
                <w:lang w:eastAsia="ru-RU"/>
              </w:rPr>
            </w:pPr>
            <w:r>
              <w:rPr>
                <w:lang w:eastAsia="ru-RU"/>
              </w:rPr>
              <w:t>(Юго-западное   управление региональных дорог и  благоустройства)</w:t>
            </w:r>
          </w:p>
          <w:p w14:paraId="2C45FDEE">
            <w:pPr>
              <w:suppressAutoHyphens w:val="0"/>
              <w:rPr>
                <w:spacing w:val="-4"/>
                <w:lang w:eastAsia="ru-RU"/>
              </w:rPr>
            </w:pPr>
            <w:r>
              <w:rPr>
                <w:spacing w:val="-4"/>
                <w:lang w:eastAsia="ru-RU"/>
              </w:rPr>
              <w:t>л/сч. 0901015</w:t>
            </w:r>
          </w:p>
          <w:p w14:paraId="576A16C8">
            <w:pPr>
              <w:suppressAutoHyphens w:val="0"/>
              <w:rPr>
                <w:spacing w:val="-4"/>
                <w:lang w:eastAsia="ru-RU"/>
              </w:rPr>
            </w:pPr>
            <w:r>
              <w:rPr>
                <w:spacing w:val="-4"/>
                <w:lang w:eastAsia="ru-RU"/>
              </w:rPr>
              <w:t>СЕВЕРО-ЗАПАДНОЕ ГУ БАНКА РОССИИ//УФК по г.Санкт-Петербургу, г.Санкт-Петербург</w:t>
            </w:r>
          </w:p>
          <w:p w14:paraId="6C4F28A7">
            <w:pPr>
              <w:suppressAutoHyphens w:val="0"/>
              <w:rPr>
                <w:spacing w:val="-4"/>
                <w:lang w:eastAsia="ru-RU"/>
              </w:rPr>
            </w:pPr>
            <w:r>
              <w:rPr>
                <w:spacing w:val="-4"/>
                <w:lang w:eastAsia="ru-RU"/>
              </w:rPr>
              <w:t>БИК 014030106</w:t>
            </w:r>
          </w:p>
          <w:p w14:paraId="127B5E2E">
            <w:pPr>
              <w:suppressAutoHyphens w:val="0"/>
              <w:rPr>
                <w:spacing w:val="-4"/>
                <w:lang w:eastAsia="ru-RU"/>
              </w:rPr>
            </w:pPr>
            <w:r>
              <w:rPr>
                <w:spacing w:val="-4"/>
                <w:lang w:eastAsia="ru-RU"/>
              </w:rPr>
              <w:t>Банковский счет 40102810945370000005</w:t>
            </w:r>
          </w:p>
          <w:p w14:paraId="6A55A6E8">
            <w:pPr>
              <w:suppressAutoHyphens w:val="0"/>
              <w:rPr>
                <w:spacing w:val="-4"/>
                <w:lang w:eastAsia="ru-RU"/>
              </w:rPr>
            </w:pPr>
            <w:r>
              <w:rPr>
                <w:spacing w:val="-4"/>
                <w:lang w:eastAsia="ru-RU"/>
              </w:rPr>
              <w:t>Казначейский счет 03224643400000007200</w:t>
            </w:r>
          </w:p>
          <w:p w14:paraId="369FE833">
            <w:r>
              <w:rPr>
                <w:spacing w:val="-4"/>
                <w:lang w:eastAsia="ru-RU"/>
              </w:rPr>
              <w:t>Тел.:+7(812)</w:t>
            </w:r>
            <w:r>
              <w:rPr>
                <w:spacing w:val="-4"/>
                <w:lang w:val="en-US" w:eastAsia="ru-RU"/>
              </w:rPr>
              <w:t xml:space="preserve"> </w:t>
            </w:r>
            <w:r>
              <w:rPr>
                <w:spacing w:val="-4"/>
                <w:lang w:eastAsia="ru-RU"/>
              </w:rPr>
              <w:t>252-61-18</w:t>
            </w:r>
          </w:p>
        </w:tc>
        <w:tc>
          <w:tcPr>
            <w:tcW w:w="5006" w:type="dxa"/>
            <w:shd w:val="clear" w:color="auto" w:fill="auto"/>
          </w:tcPr>
          <w:p w14:paraId="26250B7F">
            <w:pPr>
              <w:widowControl w:val="0"/>
              <w:snapToGrid w:val="0"/>
            </w:pPr>
          </w:p>
          <w:p w14:paraId="6BE8E47C">
            <w:pPr>
              <w:widowControl w:val="0"/>
            </w:pPr>
          </w:p>
          <w:p w14:paraId="5BD1013B">
            <w:pPr>
              <w:widowControl w:val="0"/>
            </w:pPr>
          </w:p>
          <w:p w14:paraId="36A721BF">
            <w:pPr>
              <w:widowControl w:val="0"/>
            </w:pPr>
          </w:p>
          <w:p w14:paraId="271C2752">
            <w:pPr>
              <w:widowControl w:val="0"/>
            </w:pPr>
          </w:p>
          <w:p w14:paraId="31A76637">
            <w:pPr>
              <w:widowControl w:val="0"/>
            </w:pPr>
          </w:p>
          <w:p w14:paraId="5328A34C">
            <w:pPr>
              <w:widowControl w:val="0"/>
            </w:pPr>
          </w:p>
          <w:p w14:paraId="57193A53">
            <w:pPr>
              <w:widowControl w:val="0"/>
            </w:pPr>
          </w:p>
          <w:p w14:paraId="62D5AA29">
            <w:pPr>
              <w:widowControl w:val="0"/>
            </w:pPr>
          </w:p>
        </w:tc>
      </w:tr>
    </w:tbl>
    <w:p w14:paraId="72BB8B95">
      <w:pPr>
        <w:shd w:val="clear" w:color="auto" w:fill="FFFFFF"/>
        <w:jc w:val="right"/>
        <w:rPr>
          <w:spacing w:val="-2"/>
        </w:rPr>
      </w:pPr>
    </w:p>
    <w:p w14:paraId="1A4524A8">
      <w:pPr>
        <w:shd w:val="clear" w:color="auto" w:fill="FFFFFF"/>
        <w:jc w:val="right"/>
        <w:rPr>
          <w:spacing w:val="-2"/>
        </w:rPr>
      </w:pPr>
    </w:p>
    <w:p w14:paraId="41AF3818">
      <w:pPr>
        <w:shd w:val="clear" w:color="auto" w:fill="FFFFFF"/>
        <w:jc w:val="right"/>
        <w:rPr>
          <w:spacing w:val="-2"/>
        </w:rPr>
      </w:pPr>
    </w:p>
    <w:p w14:paraId="760040DB">
      <w:pPr>
        <w:shd w:val="clear" w:color="auto" w:fill="FFFFFF"/>
        <w:jc w:val="right"/>
        <w:rPr>
          <w:spacing w:val="-2"/>
        </w:rPr>
      </w:pPr>
    </w:p>
    <w:p w14:paraId="49A18996">
      <w:pPr>
        <w:shd w:val="clear" w:color="auto" w:fill="FFFFFF"/>
        <w:jc w:val="right"/>
        <w:rPr>
          <w:spacing w:val="-2"/>
        </w:rPr>
      </w:pPr>
    </w:p>
    <w:p w14:paraId="3CDC5E27">
      <w:pPr>
        <w:shd w:val="clear" w:color="auto" w:fill="FFFFFF"/>
        <w:jc w:val="right"/>
        <w:rPr>
          <w:spacing w:val="-2"/>
        </w:rPr>
      </w:pPr>
    </w:p>
    <w:p w14:paraId="32DFCA40">
      <w:pPr>
        <w:shd w:val="clear" w:color="auto" w:fill="FFFFFF"/>
        <w:jc w:val="right"/>
        <w:rPr>
          <w:spacing w:val="-2"/>
        </w:rPr>
      </w:pPr>
      <w:r>
        <w:rPr>
          <w:spacing w:val="-2"/>
        </w:rPr>
        <w:br w:type="textWrapping"/>
      </w:r>
    </w:p>
    <w:p w14:paraId="02A117A3">
      <w:pPr>
        <w:shd w:val="clear" w:color="auto" w:fill="FFFFFF"/>
        <w:jc w:val="right"/>
        <w:rPr>
          <w:spacing w:val="-2"/>
        </w:rPr>
      </w:pPr>
    </w:p>
    <w:p w14:paraId="33DCC630">
      <w:pPr>
        <w:shd w:val="clear" w:color="auto" w:fill="FFFFFF"/>
        <w:jc w:val="right"/>
        <w:rPr>
          <w:spacing w:val="-2"/>
        </w:rPr>
      </w:pPr>
    </w:p>
    <w:p w14:paraId="41BFAE29">
      <w:pPr>
        <w:shd w:val="clear" w:color="auto" w:fill="FFFFFF"/>
        <w:jc w:val="right"/>
        <w:rPr>
          <w:spacing w:val="-2"/>
        </w:rPr>
      </w:pPr>
    </w:p>
    <w:p w14:paraId="75643B72">
      <w:pPr>
        <w:shd w:val="clear" w:color="auto" w:fill="FFFFFF"/>
        <w:jc w:val="right"/>
        <w:rPr>
          <w:spacing w:val="-2"/>
        </w:rPr>
      </w:pPr>
    </w:p>
    <w:p w14:paraId="439AA49C">
      <w:pPr>
        <w:shd w:val="clear" w:color="auto" w:fill="FFFFFF"/>
        <w:jc w:val="right"/>
        <w:rPr>
          <w:spacing w:val="-2"/>
        </w:rPr>
      </w:pPr>
    </w:p>
    <w:p w14:paraId="4A6BBF13">
      <w:pPr>
        <w:shd w:val="clear" w:color="auto" w:fill="FFFFFF"/>
        <w:jc w:val="right"/>
        <w:rPr>
          <w:spacing w:val="-2"/>
        </w:rPr>
      </w:pPr>
    </w:p>
    <w:p w14:paraId="4AAE1655">
      <w:pPr>
        <w:shd w:val="clear" w:color="auto" w:fill="FFFFFF"/>
        <w:jc w:val="right"/>
        <w:rPr>
          <w:spacing w:val="-2"/>
        </w:rPr>
      </w:pPr>
    </w:p>
    <w:p w14:paraId="12FEDEC2">
      <w:pPr>
        <w:shd w:val="clear" w:color="auto" w:fill="FFFFFF"/>
        <w:jc w:val="right"/>
        <w:rPr>
          <w:spacing w:val="-2"/>
        </w:rPr>
      </w:pPr>
    </w:p>
    <w:p w14:paraId="1999B217">
      <w:pPr>
        <w:shd w:val="clear" w:color="auto" w:fill="FFFFFF"/>
        <w:jc w:val="right"/>
        <w:rPr>
          <w:spacing w:val="-2"/>
        </w:rPr>
      </w:pPr>
    </w:p>
    <w:p w14:paraId="6151A98D">
      <w:pPr>
        <w:shd w:val="clear" w:color="auto" w:fill="FFFFFF"/>
        <w:jc w:val="right"/>
        <w:rPr>
          <w:spacing w:val="-2"/>
        </w:rPr>
      </w:pPr>
    </w:p>
    <w:p w14:paraId="26661239">
      <w:pPr>
        <w:shd w:val="clear" w:color="auto" w:fill="FFFFFF"/>
        <w:jc w:val="right"/>
        <w:rPr>
          <w:spacing w:val="-2"/>
        </w:rPr>
      </w:pPr>
    </w:p>
    <w:p w14:paraId="4EEEEA43">
      <w:pPr>
        <w:shd w:val="clear" w:color="auto" w:fill="FFFFFF"/>
        <w:jc w:val="right"/>
        <w:rPr>
          <w:spacing w:val="-2"/>
        </w:rPr>
      </w:pPr>
    </w:p>
    <w:p w14:paraId="16E157CB">
      <w:pPr>
        <w:shd w:val="clear" w:color="auto" w:fill="FFFFFF"/>
        <w:jc w:val="right"/>
        <w:rPr>
          <w:spacing w:val="-2"/>
        </w:rPr>
      </w:pPr>
    </w:p>
    <w:p w14:paraId="5F250262">
      <w:pPr>
        <w:shd w:val="clear" w:color="auto" w:fill="FFFFFF"/>
        <w:jc w:val="right"/>
        <w:rPr>
          <w:spacing w:val="-2"/>
        </w:rPr>
      </w:pPr>
      <w:r>
        <w:rPr>
          <w:spacing w:val="-2"/>
        </w:rPr>
        <w:t>Приложение №1</w:t>
      </w:r>
    </w:p>
    <w:p w14:paraId="07F19B5E">
      <w:pPr>
        <w:shd w:val="clear" w:color="auto" w:fill="FFFFFF"/>
        <w:jc w:val="right"/>
        <w:rPr>
          <w:spacing w:val="-2"/>
        </w:rPr>
      </w:pPr>
      <w:r>
        <w:rPr>
          <w:spacing w:val="-2"/>
        </w:rPr>
        <w:t>к государственному контракту</w:t>
      </w:r>
    </w:p>
    <w:p w14:paraId="5A6B64A5">
      <w:pPr>
        <w:shd w:val="clear" w:color="auto" w:fill="FFFFFF"/>
        <w:jc w:val="right"/>
      </w:pPr>
      <w:r>
        <w:rPr>
          <w:spacing w:val="-2"/>
        </w:rPr>
        <w:t xml:space="preserve">№ </w:t>
      </w:r>
      <w:r>
        <w:rPr>
          <w:rFonts w:hint="default"/>
          <w:spacing w:val="-7"/>
          <w:lang w:val="ru-RU"/>
        </w:rPr>
        <w:t>________</w:t>
      </w:r>
      <w:r>
        <w:rPr>
          <w:spacing w:val="-7"/>
        </w:rPr>
        <w:t xml:space="preserve"> от  </w:t>
      </w:r>
      <w:r>
        <w:rPr>
          <w:rFonts w:hint="default"/>
          <w:spacing w:val="-7"/>
          <w:lang w:val="ru-RU"/>
        </w:rPr>
        <w:t>______________</w:t>
      </w:r>
      <w:r>
        <w:t xml:space="preserve"> г.</w:t>
      </w:r>
    </w:p>
    <w:p w14:paraId="129CFBC8">
      <w:pPr>
        <w:shd w:val="clear" w:color="auto" w:fill="FFFFFF"/>
        <w:ind w:right="22"/>
        <w:jc w:val="center"/>
        <w:rPr>
          <w:rFonts w:ascii="Arial" w:hAnsi="Arial" w:cs="Arial"/>
          <w:b/>
        </w:rPr>
      </w:pPr>
      <w:r>
        <w:rPr>
          <w:rFonts w:ascii="Arial" w:hAnsi="Arial" w:cs="Arial"/>
          <w:b/>
        </w:rPr>
        <w:t>СПЕЦИФИКАЦИЯ</w:t>
      </w:r>
    </w:p>
    <w:tbl>
      <w:tblPr>
        <w:tblStyle w:val="3"/>
        <w:tblW w:w="10673" w:type="dxa"/>
        <w:tblInd w:w="-7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631"/>
        <w:gridCol w:w="4111"/>
        <w:gridCol w:w="1275"/>
        <w:gridCol w:w="852"/>
        <w:gridCol w:w="1135"/>
        <w:gridCol w:w="1135"/>
      </w:tblGrid>
      <w:tr w14:paraId="4DCE7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534" w:type="dxa"/>
            <w:tcBorders>
              <w:top w:val="single" w:color="auto" w:sz="4" w:space="0"/>
              <w:left w:val="single" w:color="auto" w:sz="4" w:space="0"/>
              <w:bottom w:val="single" w:color="auto" w:sz="4" w:space="0"/>
              <w:right w:val="single" w:color="auto" w:sz="4" w:space="0"/>
            </w:tcBorders>
          </w:tcPr>
          <w:p w14:paraId="0A38A0A0">
            <w:pPr>
              <w:jc w:val="center"/>
              <w:rPr>
                <w:b/>
                <w:bCs/>
                <w:sz w:val="21"/>
                <w:szCs w:val="21"/>
              </w:rPr>
            </w:pPr>
            <w:r>
              <w:rPr>
                <w:b/>
                <w:bCs/>
                <w:sz w:val="21"/>
                <w:szCs w:val="21"/>
              </w:rPr>
              <w:t>№ п/п</w:t>
            </w:r>
          </w:p>
        </w:tc>
        <w:tc>
          <w:tcPr>
            <w:tcW w:w="1631" w:type="dxa"/>
            <w:tcBorders>
              <w:top w:val="single" w:color="auto" w:sz="4" w:space="0"/>
              <w:left w:val="single" w:color="auto" w:sz="4" w:space="0"/>
              <w:bottom w:val="single" w:color="auto" w:sz="4" w:space="0"/>
              <w:right w:val="single" w:color="auto" w:sz="4" w:space="0"/>
            </w:tcBorders>
            <w:vAlign w:val="center"/>
          </w:tcPr>
          <w:p w14:paraId="43DB45B6">
            <w:pPr>
              <w:jc w:val="center"/>
              <w:rPr>
                <w:b/>
                <w:sz w:val="21"/>
                <w:szCs w:val="21"/>
              </w:rPr>
            </w:pPr>
            <w:r>
              <w:rPr>
                <w:b/>
                <w:sz w:val="21"/>
                <w:szCs w:val="21"/>
              </w:rPr>
              <w:t xml:space="preserve">Наименование услуги </w:t>
            </w:r>
          </w:p>
          <w:p w14:paraId="7CBE0466">
            <w:pPr>
              <w:jc w:val="center"/>
              <w:rPr>
                <w:b/>
                <w:bCs/>
                <w:sz w:val="21"/>
                <w:szCs w:val="21"/>
              </w:rPr>
            </w:pPr>
          </w:p>
        </w:tc>
        <w:tc>
          <w:tcPr>
            <w:tcW w:w="4111" w:type="dxa"/>
            <w:tcBorders>
              <w:top w:val="single" w:color="auto" w:sz="4" w:space="0"/>
              <w:left w:val="single" w:color="auto" w:sz="4" w:space="0"/>
              <w:bottom w:val="single" w:color="auto" w:sz="4" w:space="0"/>
              <w:right w:val="single" w:color="auto" w:sz="4" w:space="0"/>
            </w:tcBorders>
            <w:vAlign w:val="center"/>
          </w:tcPr>
          <w:p w14:paraId="024D3CEB">
            <w:pPr>
              <w:jc w:val="center"/>
              <w:rPr>
                <w:sz w:val="21"/>
                <w:szCs w:val="21"/>
              </w:rPr>
            </w:pPr>
            <w:r>
              <w:rPr>
                <w:b/>
                <w:bCs/>
                <w:sz w:val="21"/>
                <w:szCs w:val="21"/>
              </w:rPr>
              <w:t>Описание услуги</w:t>
            </w:r>
          </w:p>
        </w:tc>
        <w:tc>
          <w:tcPr>
            <w:tcW w:w="1275" w:type="dxa"/>
            <w:tcBorders>
              <w:top w:val="single" w:color="auto" w:sz="4" w:space="0"/>
              <w:left w:val="single" w:color="auto" w:sz="4" w:space="0"/>
              <w:bottom w:val="single" w:color="auto" w:sz="4" w:space="0"/>
              <w:right w:val="single" w:color="auto" w:sz="4" w:space="0"/>
            </w:tcBorders>
            <w:vAlign w:val="center"/>
          </w:tcPr>
          <w:p w14:paraId="73B075D7">
            <w:pPr>
              <w:jc w:val="center"/>
              <w:rPr>
                <w:b/>
                <w:bCs/>
                <w:sz w:val="21"/>
                <w:szCs w:val="21"/>
              </w:rPr>
            </w:pPr>
            <w:r>
              <w:rPr>
                <w:b/>
                <w:bCs/>
                <w:sz w:val="21"/>
                <w:szCs w:val="21"/>
              </w:rPr>
              <w:t xml:space="preserve">Единица измерения </w:t>
            </w:r>
          </w:p>
        </w:tc>
        <w:tc>
          <w:tcPr>
            <w:tcW w:w="852" w:type="dxa"/>
            <w:tcBorders>
              <w:top w:val="single" w:color="auto" w:sz="4" w:space="0"/>
              <w:left w:val="single" w:color="auto" w:sz="4" w:space="0"/>
              <w:bottom w:val="single" w:color="auto" w:sz="4" w:space="0"/>
              <w:right w:val="single" w:color="auto" w:sz="4" w:space="0"/>
            </w:tcBorders>
            <w:vAlign w:val="center"/>
          </w:tcPr>
          <w:p w14:paraId="43A2A6DF">
            <w:pPr>
              <w:jc w:val="center"/>
              <w:rPr>
                <w:sz w:val="21"/>
                <w:szCs w:val="21"/>
              </w:rPr>
            </w:pPr>
            <w:r>
              <w:rPr>
                <w:b/>
                <w:bCs/>
                <w:sz w:val="21"/>
                <w:szCs w:val="21"/>
              </w:rPr>
              <w:t>Количество</w:t>
            </w:r>
          </w:p>
        </w:tc>
        <w:tc>
          <w:tcPr>
            <w:tcW w:w="1135" w:type="dxa"/>
            <w:tcBorders>
              <w:top w:val="single" w:color="auto" w:sz="4" w:space="0"/>
              <w:left w:val="single" w:color="auto" w:sz="4" w:space="0"/>
              <w:bottom w:val="single" w:color="auto" w:sz="4" w:space="0"/>
              <w:right w:val="single" w:color="auto" w:sz="4" w:space="0"/>
            </w:tcBorders>
          </w:tcPr>
          <w:p w14:paraId="52C6A7A5">
            <w:pPr>
              <w:jc w:val="center"/>
              <w:rPr>
                <w:b/>
                <w:bCs/>
                <w:sz w:val="21"/>
                <w:szCs w:val="21"/>
              </w:rPr>
            </w:pPr>
            <w:r>
              <w:rPr>
                <w:b/>
                <w:bCs/>
                <w:sz w:val="21"/>
                <w:szCs w:val="21"/>
              </w:rPr>
              <w:t>Цена за ед., руб.</w:t>
            </w:r>
          </w:p>
        </w:tc>
        <w:tc>
          <w:tcPr>
            <w:tcW w:w="1135" w:type="dxa"/>
            <w:tcBorders>
              <w:top w:val="single" w:color="auto" w:sz="4" w:space="0"/>
              <w:left w:val="single" w:color="auto" w:sz="4" w:space="0"/>
              <w:bottom w:val="single" w:color="auto" w:sz="4" w:space="0"/>
              <w:right w:val="single" w:color="auto" w:sz="4" w:space="0"/>
            </w:tcBorders>
          </w:tcPr>
          <w:p w14:paraId="3051F96B">
            <w:pPr>
              <w:jc w:val="center"/>
              <w:rPr>
                <w:b/>
                <w:bCs/>
                <w:sz w:val="21"/>
                <w:szCs w:val="21"/>
              </w:rPr>
            </w:pPr>
            <w:r>
              <w:rPr>
                <w:b/>
                <w:bCs/>
                <w:sz w:val="21"/>
                <w:szCs w:val="21"/>
              </w:rPr>
              <w:t>Стоимость</w:t>
            </w:r>
          </w:p>
        </w:tc>
      </w:tr>
      <w:tr w14:paraId="4AD6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534" w:type="dxa"/>
            <w:tcBorders>
              <w:top w:val="single" w:color="auto" w:sz="4" w:space="0"/>
              <w:left w:val="single" w:color="auto" w:sz="4" w:space="0"/>
              <w:bottom w:val="single" w:color="auto" w:sz="4" w:space="0"/>
              <w:right w:val="single" w:color="auto" w:sz="4" w:space="0"/>
            </w:tcBorders>
          </w:tcPr>
          <w:p w14:paraId="22064340">
            <w:pPr>
              <w:jc w:val="center"/>
              <w:rPr>
                <w:bCs/>
              </w:rPr>
            </w:pPr>
            <w:r>
              <w:rPr>
                <w:bCs/>
              </w:rPr>
              <w:t>1</w:t>
            </w:r>
          </w:p>
        </w:tc>
        <w:tc>
          <w:tcPr>
            <w:tcW w:w="1631" w:type="dxa"/>
            <w:tcBorders>
              <w:top w:val="single" w:color="auto" w:sz="4" w:space="0"/>
              <w:left w:val="single" w:color="auto" w:sz="4" w:space="0"/>
              <w:bottom w:val="single" w:color="auto" w:sz="4" w:space="0"/>
              <w:right w:val="single" w:color="auto" w:sz="4" w:space="0"/>
            </w:tcBorders>
          </w:tcPr>
          <w:p w14:paraId="26547C4E">
            <w:pPr>
              <w:widowControl w:val="0"/>
              <w:tabs>
                <w:tab w:val="left" w:pos="3176"/>
              </w:tabs>
              <w:autoSpaceDE w:val="0"/>
              <w:autoSpaceDN w:val="0"/>
              <w:spacing w:before="240" w:after="160"/>
              <w:contextualSpacing/>
              <w:rPr>
                <w:rFonts w:eastAsia="Calibri"/>
              </w:rPr>
            </w:pPr>
            <w:r>
              <w:rPr>
                <w:rFonts w:ascii="Times New Roman" w:hAnsi="Times New Roman" w:eastAsia="Andale Sans UI" w:cs="Times New Roman"/>
                <w:bCs/>
                <w:kern w:val="1"/>
                <w:sz w:val="24"/>
                <w:szCs w:val="24"/>
              </w:rPr>
              <w:t>анализ проб твердого противогололедного материала природного песка (входной контроль)</w:t>
            </w:r>
          </w:p>
        </w:tc>
        <w:tc>
          <w:tcPr>
            <w:tcW w:w="4111" w:type="dxa"/>
            <w:tcBorders>
              <w:top w:val="single" w:color="auto" w:sz="4" w:space="0"/>
              <w:left w:val="single" w:color="auto" w:sz="4" w:space="0"/>
              <w:bottom w:val="single" w:color="auto" w:sz="4" w:space="0"/>
              <w:right w:val="single" w:color="auto" w:sz="4" w:space="0"/>
            </w:tcBorders>
          </w:tcPr>
          <w:p w14:paraId="4306FB2E">
            <w:pPr>
              <w:autoSpaceDE w:val="0"/>
              <w:autoSpaceDN w:val="0"/>
              <w:adjustRightInd w:val="0"/>
              <w:jc w:val="both"/>
            </w:pPr>
            <w:r>
              <w:t>проведение работ</w:t>
            </w:r>
            <w:r>
              <w:rPr>
                <w:rFonts w:hint="default"/>
                <w:lang w:val="ru-RU"/>
              </w:rPr>
              <w:t xml:space="preserve"> по</w:t>
            </w:r>
            <w:r>
              <w:t xml:space="preserve"> анализ</w:t>
            </w:r>
            <w:r>
              <w:rPr>
                <w:lang w:val="ru-RU"/>
              </w:rPr>
              <w:t>у</w:t>
            </w:r>
            <w:r>
              <w:t xml:space="preserve"> проб производятся в соответствии с ГОСТ Р 58427-2020 «Материалы противогололедные для применения на территории населенных пунктов», утвержденному Приказом Федерального агентства по техническому регулированию и метрологии от 30.10.2020 № 1005-ст</w:t>
            </w:r>
          </w:p>
          <w:p w14:paraId="1EB74B25">
            <w:pPr>
              <w:pStyle w:val="17"/>
              <w:ind w:left="-180"/>
              <w:jc w:val="center"/>
              <w:rPr>
                <w:b/>
                <w:bCs/>
                <w:kern w:val="1"/>
              </w:rPr>
            </w:pPr>
            <w:r>
              <w:rPr>
                <w:b/>
                <w:bCs/>
                <w:kern w:val="1"/>
              </w:rPr>
              <w:t>Основные технические характеристики</w:t>
            </w:r>
            <w:r>
              <w:rPr>
                <w:rFonts w:hint="default"/>
                <w:b/>
                <w:bCs/>
                <w:kern w:val="1"/>
                <w:lang w:val="ru-RU"/>
              </w:rPr>
              <w:t xml:space="preserve"> </w:t>
            </w:r>
            <w:r>
              <w:rPr>
                <w:rFonts w:ascii="Times New Roman" w:hAnsi="Times New Roman" w:eastAsia="Andale Sans UI" w:cs="Times New Roman"/>
                <w:bCs/>
                <w:kern w:val="1"/>
                <w:sz w:val="24"/>
                <w:szCs w:val="24"/>
              </w:rPr>
              <w:t>входно</w:t>
            </w:r>
            <w:r>
              <w:rPr>
                <w:rFonts w:eastAsia="Andale Sans UI" w:cs="Times New Roman"/>
                <w:bCs/>
                <w:kern w:val="1"/>
                <w:sz w:val="24"/>
                <w:szCs w:val="24"/>
                <w:lang w:val="ru-RU"/>
              </w:rPr>
              <w:t>го</w:t>
            </w:r>
            <w:r>
              <w:rPr>
                <w:rFonts w:ascii="Times New Roman" w:hAnsi="Times New Roman" w:eastAsia="Andale Sans UI" w:cs="Times New Roman"/>
                <w:bCs/>
                <w:kern w:val="1"/>
                <w:sz w:val="24"/>
                <w:szCs w:val="24"/>
              </w:rPr>
              <w:t xml:space="preserve"> контрол</w:t>
            </w:r>
            <w:r>
              <w:rPr>
                <w:rFonts w:eastAsia="Andale Sans UI" w:cs="Times New Roman"/>
                <w:bCs/>
                <w:kern w:val="1"/>
                <w:sz w:val="24"/>
                <w:szCs w:val="24"/>
                <w:lang w:val="ru-RU"/>
              </w:rPr>
              <w:t>я</w:t>
            </w:r>
            <w:r>
              <w:rPr>
                <w:b/>
                <w:bCs/>
                <w:kern w:val="1"/>
              </w:rPr>
              <w:t>:</w:t>
            </w:r>
          </w:p>
          <w:p w14:paraId="77CCC12B">
            <w:pPr>
              <w:pStyle w:val="17"/>
              <w:ind w:left="-180"/>
              <w:jc w:val="center"/>
              <w:rPr>
                <w:b/>
                <w:bCs/>
                <w:kern w:val="1"/>
              </w:rPr>
            </w:pPr>
          </w:p>
          <w:p w14:paraId="13190E43">
            <w:pPr>
              <w:pStyle w:val="17"/>
              <w:ind w:left="0" w:leftChars="0" w:firstLine="176" w:firstLineChars="88"/>
              <w:jc w:val="both"/>
            </w:pPr>
            <w:r>
              <w:t>Т</w:t>
            </w:r>
            <w:r>
              <w:rPr>
                <w:kern w:val="1"/>
              </w:rPr>
              <w:t>овар должен быть нетоксичен, негорюч, пожаро-, взрыво- и радиационно безопасен,</w:t>
            </w:r>
            <w:r>
              <w:t xml:space="preserve"> относиться к веществам с классом опасности 3 (умеренно-опасные) или 4 (малоопасные) </w:t>
            </w:r>
          </w:p>
          <w:p w14:paraId="137335BA">
            <w:pPr>
              <w:pStyle w:val="17"/>
              <w:ind w:left="178" w:leftChars="74" w:firstLine="222" w:firstLineChars="111"/>
              <w:jc w:val="both"/>
            </w:pPr>
            <w:r>
              <w:t>по ГОСТ 12.1.007 и не должен обладать сильной или умеренно выраженной аллергенной активностью и кожно-резорбтивным воздействием.</w:t>
            </w:r>
          </w:p>
          <w:p w14:paraId="7543D218">
            <w:pPr>
              <w:pStyle w:val="17"/>
              <w:ind w:left="178" w:leftChars="74" w:firstLine="222" w:firstLineChars="111"/>
              <w:jc w:val="both"/>
            </w:pPr>
            <w:r>
              <w:t>Технические характеристики товара должны соответствовать (ГОСТ 8736-2014, ГОСТ 32824-2014, ГОСТ Р 58427-2020).</w:t>
            </w:r>
          </w:p>
          <w:p w14:paraId="0780EE77">
            <w:pPr>
              <w:pStyle w:val="17"/>
              <w:ind w:left="-180"/>
              <w:rPr>
                <w:bCs/>
                <w:kern w:val="1"/>
                <w:u w:val="single"/>
              </w:rPr>
            </w:pPr>
          </w:p>
          <w:tbl>
            <w:tblPr>
              <w:tblStyle w:val="3"/>
              <w:tblW w:w="3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0"/>
              <w:gridCol w:w="2123"/>
            </w:tblGrid>
            <w:tr w14:paraId="607B5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tcPr>
                <w:p w14:paraId="097482FA">
                  <w:pPr>
                    <w:rPr>
                      <w:rFonts w:ascii="Times New Roman" w:hAnsi="Times New Roman" w:cs="Times New Roman"/>
                      <w:bCs/>
                      <w:kern w:val="1"/>
                      <w:sz w:val="20"/>
                      <w:szCs w:val="20"/>
                    </w:rPr>
                  </w:pPr>
                  <w:r>
                    <w:rPr>
                      <w:rFonts w:ascii="Times New Roman" w:hAnsi="Times New Roman" w:cs="Times New Roman"/>
                      <w:bCs/>
                      <w:kern w:val="1"/>
                      <w:sz w:val="20"/>
                      <w:szCs w:val="20"/>
                    </w:rPr>
                    <w:t xml:space="preserve">Наименование показателей </w:t>
                  </w:r>
                </w:p>
              </w:tc>
              <w:tc>
                <w:tcPr>
                  <w:tcW w:w="2123" w:type="dxa"/>
                </w:tcPr>
                <w:p w14:paraId="3C0E2C3E">
                  <w:pPr>
                    <w:rPr>
                      <w:rFonts w:ascii="Times New Roman" w:hAnsi="Times New Roman" w:cs="Times New Roman"/>
                      <w:bCs/>
                      <w:kern w:val="1"/>
                      <w:sz w:val="20"/>
                      <w:szCs w:val="20"/>
                    </w:rPr>
                  </w:pPr>
                  <w:r>
                    <w:rPr>
                      <w:rFonts w:ascii="Times New Roman" w:hAnsi="Times New Roman" w:cs="Times New Roman"/>
                      <w:bCs/>
                      <w:kern w:val="1"/>
                      <w:sz w:val="20"/>
                      <w:szCs w:val="20"/>
                    </w:rPr>
                    <w:t>Значение показателей</w:t>
                  </w:r>
                </w:p>
              </w:tc>
            </w:tr>
            <w:tr w14:paraId="2DE10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tcPr>
                <w:p w14:paraId="13339DF5">
                  <w:pPr>
                    <w:rPr>
                      <w:rFonts w:ascii="Times New Roman" w:hAnsi="Times New Roman" w:cs="Times New Roman"/>
                      <w:bCs/>
                      <w:kern w:val="1"/>
                      <w:sz w:val="20"/>
                      <w:szCs w:val="20"/>
                    </w:rPr>
                  </w:pPr>
                  <w:r>
                    <w:rPr>
                      <w:rFonts w:ascii="Times New Roman" w:hAnsi="Times New Roman" w:cs="Times New Roman"/>
                      <w:bCs/>
                      <w:kern w:val="1"/>
                      <w:sz w:val="20"/>
                      <w:szCs w:val="20"/>
                    </w:rPr>
                    <w:t>1</w:t>
                  </w:r>
                </w:p>
              </w:tc>
              <w:tc>
                <w:tcPr>
                  <w:tcW w:w="2123" w:type="dxa"/>
                </w:tcPr>
                <w:p w14:paraId="6A5C2520">
                  <w:pPr>
                    <w:rPr>
                      <w:rFonts w:ascii="Times New Roman" w:hAnsi="Times New Roman" w:cs="Times New Roman"/>
                      <w:bCs/>
                      <w:kern w:val="1"/>
                      <w:sz w:val="20"/>
                      <w:szCs w:val="20"/>
                    </w:rPr>
                  </w:pPr>
                  <w:r>
                    <w:rPr>
                      <w:rFonts w:ascii="Times New Roman" w:hAnsi="Times New Roman" w:cs="Times New Roman"/>
                      <w:bCs/>
                      <w:kern w:val="1"/>
                      <w:sz w:val="20"/>
                      <w:szCs w:val="20"/>
                    </w:rPr>
                    <w:t>2</w:t>
                  </w:r>
                </w:p>
              </w:tc>
            </w:tr>
            <w:tr w14:paraId="0C9A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1680" w:type="dxa"/>
                  <w:vAlign w:val="center"/>
                </w:tcPr>
                <w:p w14:paraId="77EE8BF4">
                  <w:pPr>
                    <w:rPr>
                      <w:rFonts w:ascii="Times New Roman" w:hAnsi="Times New Roman" w:cs="Times New Roman"/>
                      <w:bCs/>
                      <w:kern w:val="1"/>
                      <w:sz w:val="20"/>
                      <w:szCs w:val="20"/>
                    </w:rPr>
                  </w:pPr>
                  <w:r>
                    <w:rPr>
                      <w:rFonts w:ascii="Times New Roman" w:hAnsi="Times New Roman" w:cs="Times New Roman"/>
                      <w:bCs/>
                      <w:kern w:val="1"/>
                      <w:sz w:val="20"/>
                      <w:szCs w:val="20"/>
                    </w:rPr>
                    <w:t>1. Внешний вид, форма гранул, цвет</w:t>
                  </w:r>
                </w:p>
              </w:tc>
              <w:tc>
                <w:tcPr>
                  <w:tcW w:w="2123" w:type="dxa"/>
                  <w:vAlign w:val="center"/>
                </w:tcPr>
                <w:p w14:paraId="41FF44C9">
                  <w:pPr>
                    <w:rPr>
                      <w:rFonts w:ascii="Times New Roman" w:hAnsi="Times New Roman" w:cs="Times New Roman"/>
                      <w:bCs/>
                      <w:kern w:val="1"/>
                      <w:sz w:val="20"/>
                      <w:szCs w:val="20"/>
                    </w:rPr>
                  </w:pPr>
                  <w:r>
                    <w:rPr>
                      <w:rFonts w:ascii="Times New Roman" w:hAnsi="Times New Roman" w:cs="Times New Roman"/>
                      <w:sz w:val="20"/>
                      <w:szCs w:val="20"/>
                      <w:lang w:eastAsia="ar-SA"/>
                    </w:rPr>
                    <w:t>гранулы угловатой формы, различных оттенков серого, коричневого цвета</w:t>
                  </w:r>
                </w:p>
              </w:tc>
            </w:tr>
            <w:tr w14:paraId="48483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55497932">
                  <w:pPr>
                    <w:rPr>
                      <w:rFonts w:ascii="Times New Roman" w:hAnsi="Times New Roman" w:cs="Times New Roman"/>
                      <w:bCs/>
                      <w:kern w:val="1"/>
                      <w:sz w:val="20"/>
                      <w:szCs w:val="20"/>
                    </w:rPr>
                  </w:pPr>
                  <w:r>
                    <w:rPr>
                      <w:rFonts w:ascii="Times New Roman" w:hAnsi="Times New Roman" w:cs="Times New Roman"/>
                      <w:bCs/>
                      <w:kern w:val="1"/>
                      <w:sz w:val="20"/>
                      <w:szCs w:val="20"/>
                    </w:rPr>
                    <w:t>2. Однородность</w:t>
                  </w:r>
                </w:p>
              </w:tc>
              <w:tc>
                <w:tcPr>
                  <w:tcW w:w="2123" w:type="dxa"/>
                  <w:vAlign w:val="center"/>
                </w:tcPr>
                <w:p w14:paraId="460A384D">
                  <w:pPr>
                    <w:rPr>
                      <w:rFonts w:ascii="Times New Roman" w:hAnsi="Times New Roman" w:cs="Times New Roman"/>
                      <w:bCs/>
                      <w:kern w:val="1"/>
                      <w:sz w:val="20"/>
                      <w:szCs w:val="20"/>
                    </w:rPr>
                  </w:pPr>
                  <w:r>
                    <w:rPr>
                      <w:rFonts w:ascii="Times New Roman" w:hAnsi="Times New Roman" w:cs="Times New Roman"/>
                      <w:bCs/>
                      <w:kern w:val="1"/>
                      <w:sz w:val="20"/>
                      <w:szCs w:val="20"/>
                    </w:rPr>
                    <w:t>Неоднородность не допускается</w:t>
                  </w:r>
                </w:p>
              </w:tc>
            </w:tr>
            <w:tr w14:paraId="6491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14404572">
                  <w:pPr>
                    <w:rPr>
                      <w:rFonts w:ascii="Times New Roman" w:hAnsi="Times New Roman" w:cs="Times New Roman"/>
                      <w:bCs/>
                      <w:kern w:val="1"/>
                      <w:sz w:val="20"/>
                      <w:szCs w:val="20"/>
                    </w:rPr>
                  </w:pPr>
                  <w:r>
                    <w:rPr>
                      <w:rFonts w:ascii="Times New Roman" w:hAnsi="Times New Roman" w:cs="Times New Roman"/>
                      <w:bCs/>
                      <w:kern w:val="1"/>
                      <w:sz w:val="20"/>
                      <w:szCs w:val="20"/>
                    </w:rPr>
                    <w:t>3. Интенсивность запаха, балл, не более</w:t>
                  </w:r>
                </w:p>
              </w:tc>
              <w:tc>
                <w:tcPr>
                  <w:tcW w:w="2123" w:type="dxa"/>
                  <w:vAlign w:val="center"/>
                </w:tcPr>
                <w:p w14:paraId="516C9350">
                  <w:pPr>
                    <w:rPr>
                      <w:rFonts w:ascii="Times New Roman" w:hAnsi="Times New Roman" w:cs="Times New Roman"/>
                      <w:bCs/>
                      <w:kern w:val="1"/>
                      <w:sz w:val="20"/>
                      <w:szCs w:val="20"/>
                    </w:rPr>
                  </w:pPr>
                  <w:r>
                    <w:rPr>
                      <w:rFonts w:ascii="Times New Roman" w:hAnsi="Times New Roman" w:cs="Times New Roman"/>
                      <w:bCs/>
                      <w:kern w:val="1"/>
                      <w:sz w:val="20"/>
                      <w:szCs w:val="20"/>
                    </w:rPr>
                    <w:t>1</w:t>
                  </w:r>
                </w:p>
              </w:tc>
            </w:tr>
            <w:tr w14:paraId="38B8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7180DDBF">
                  <w:pPr>
                    <w:rPr>
                      <w:rFonts w:ascii="Times New Roman" w:hAnsi="Times New Roman" w:cs="Times New Roman"/>
                      <w:bCs/>
                      <w:kern w:val="1"/>
                      <w:sz w:val="20"/>
                      <w:szCs w:val="20"/>
                    </w:rPr>
                  </w:pPr>
                  <w:r>
                    <w:rPr>
                      <w:rFonts w:ascii="Times New Roman" w:hAnsi="Times New Roman" w:cs="Times New Roman"/>
                      <w:bCs/>
                      <w:kern w:val="1"/>
                      <w:sz w:val="20"/>
                      <w:szCs w:val="20"/>
                    </w:rPr>
                    <w:t>4. Массовая доля влаги, %, не более</w:t>
                  </w:r>
                </w:p>
              </w:tc>
              <w:tc>
                <w:tcPr>
                  <w:tcW w:w="2123" w:type="dxa"/>
                  <w:vAlign w:val="center"/>
                </w:tcPr>
                <w:p w14:paraId="68330F9B">
                  <w:pPr>
                    <w:rPr>
                      <w:rFonts w:ascii="Times New Roman" w:hAnsi="Times New Roman" w:cs="Times New Roman"/>
                      <w:bCs/>
                      <w:kern w:val="1"/>
                      <w:sz w:val="20"/>
                      <w:szCs w:val="20"/>
                    </w:rPr>
                  </w:pPr>
                  <w:r>
                    <w:rPr>
                      <w:rFonts w:ascii="Times New Roman" w:hAnsi="Times New Roman" w:cs="Times New Roman"/>
                      <w:bCs/>
                      <w:kern w:val="1"/>
                      <w:sz w:val="20"/>
                      <w:szCs w:val="20"/>
                    </w:rPr>
                    <w:t>5</w:t>
                  </w:r>
                </w:p>
              </w:tc>
            </w:tr>
            <w:tr w14:paraId="2C68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64EB8C04">
                  <w:pPr>
                    <w:rPr>
                      <w:rFonts w:ascii="Times New Roman" w:hAnsi="Times New Roman" w:cs="Times New Roman"/>
                      <w:bCs/>
                      <w:kern w:val="1"/>
                      <w:sz w:val="20"/>
                      <w:szCs w:val="20"/>
                    </w:rPr>
                  </w:pPr>
                  <w:r>
                    <w:rPr>
                      <w:rFonts w:ascii="Times New Roman" w:hAnsi="Times New Roman" w:cs="Times New Roman"/>
                      <w:bCs/>
                      <w:kern w:val="1"/>
                      <w:sz w:val="20"/>
                      <w:szCs w:val="20"/>
                    </w:rPr>
                    <w:t>5. Массовая доля пылевидных и глинистых частиц, %, не более</w:t>
                  </w:r>
                </w:p>
              </w:tc>
              <w:tc>
                <w:tcPr>
                  <w:tcW w:w="2123" w:type="dxa"/>
                  <w:vAlign w:val="center"/>
                </w:tcPr>
                <w:p w14:paraId="5CAB488D">
                  <w:pPr>
                    <w:rPr>
                      <w:rFonts w:ascii="Times New Roman" w:hAnsi="Times New Roman" w:cs="Times New Roman"/>
                      <w:bCs/>
                      <w:kern w:val="1"/>
                      <w:sz w:val="20"/>
                      <w:szCs w:val="20"/>
                    </w:rPr>
                  </w:pPr>
                  <w:r>
                    <w:rPr>
                      <w:rFonts w:ascii="Times New Roman" w:hAnsi="Times New Roman" w:cs="Times New Roman"/>
                      <w:bCs/>
                      <w:kern w:val="1"/>
                      <w:sz w:val="20"/>
                      <w:szCs w:val="20"/>
                    </w:rPr>
                    <w:t>2</w:t>
                  </w:r>
                </w:p>
              </w:tc>
            </w:tr>
            <w:tr w14:paraId="368C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4C116305">
                  <w:pPr>
                    <w:spacing w:after="0"/>
                    <w:rPr>
                      <w:rFonts w:ascii="Times New Roman" w:hAnsi="Times New Roman" w:cs="Times New Roman"/>
                      <w:bCs/>
                      <w:kern w:val="1"/>
                      <w:sz w:val="20"/>
                      <w:szCs w:val="20"/>
                    </w:rPr>
                  </w:pPr>
                  <w:r>
                    <w:rPr>
                      <w:rFonts w:ascii="Times New Roman" w:hAnsi="Times New Roman" w:cs="Times New Roman"/>
                      <w:bCs/>
                      <w:kern w:val="1"/>
                      <w:sz w:val="20"/>
                      <w:szCs w:val="20"/>
                    </w:rPr>
                    <w:t>6. Гранулометрический состав, массовая доля частиц размером:</w:t>
                  </w:r>
                </w:p>
                <w:p w14:paraId="4A3476A9">
                  <w:pPr>
                    <w:spacing w:after="0" w:line="240" w:lineRule="atLeast"/>
                    <w:contextualSpacing/>
                    <w:rPr>
                      <w:rFonts w:ascii="Times New Roman" w:hAnsi="Times New Roman" w:cs="Times New Roman"/>
                      <w:sz w:val="20"/>
                      <w:szCs w:val="20"/>
                    </w:rPr>
                  </w:pPr>
                  <w:r>
                    <w:rPr>
                      <w:rFonts w:ascii="Times New Roman" w:hAnsi="Times New Roman" w:cs="Times New Roman"/>
                      <w:sz w:val="20"/>
                      <w:szCs w:val="20"/>
                    </w:rPr>
                    <w:t>- св. 8 мм, %</w:t>
                  </w:r>
                </w:p>
                <w:p w14:paraId="757030DB">
                  <w:pPr>
                    <w:spacing w:after="0" w:line="240" w:lineRule="atLeast"/>
                    <w:contextualSpacing/>
                    <w:rPr>
                      <w:rFonts w:ascii="Times New Roman" w:hAnsi="Times New Roman" w:cs="Times New Roman"/>
                      <w:sz w:val="20"/>
                      <w:szCs w:val="20"/>
                    </w:rPr>
                  </w:pPr>
                  <w:r>
                    <w:rPr>
                      <w:rFonts w:ascii="Times New Roman" w:hAnsi="Times New Roman" w:cs="Times New Roman"/>
                      <w:sz w:val="20"/>
                      <w:szCs w:val="20"/>
                    </w:rPr>
                    <w:t xml:space="preserve">- св. 5 мм до 8 мм, %, не более </w:t>
                  </w:r>
                </w:p>
                <w:p w14:paraId="08C6D0AB">
                  <w:pPr>
                    <w:spacing w:after="0" w:line="240" w:lineRule="atLeast"/>
                    <w:contextualSpacing/>
                    <w:rPr>
                      <w:rFonts w:ascii="Times New Roman" w:hAnsi="Times New Roman" w:cs="Times New Roman"/>
                      <w:sz w:val="20"/>
                      <w:szCs w:val="20"/>
                    </w:rPr>
                  </w:pPr>
                  <w:r>
                    <w:rPr>
                      <w:rFonts w:ascii="Times New Roman" w:hAnsi="Times New Roman" w:cs="Times New Roman"/>
                      <w:sz w:val="20"/>
                      <w:szCs w:val="20"/>
                    </w:rPr>
                    <w:t xml:space="preserve">- св. 1 мм до 5,6 мм, %, не менее </w:t>
                  </w:r>
                </w:p>
                <w:p w14:paraId="78BC9DD9">
                  <w:pPr>
                    <w:spacing w:after="0" w:line="240" w:lineRule="atLeast"/>
                    <w:contextualSpacing/>
                    <w:rPr>
                      <w:rFonts w:ascii="Times New Roman" w:hAnsi="Times New Roman" w:cs="Times New Roman"/>
                      <w:sz w:val="20"/>
                      <w:szCs w:val="20"/>
                    </w:rPr>
                  </w:pPr>
                  <w:r>
                    <w:rPr>
                      <w:rFonts w:ascii="Times New Roman" w:hAnsi="Times New Roman" w:cs="Times New Roman"/>
                      <w:sz w:val="20"/>
                      <w:szCs w:val="20"/>
                    </w:rPr>
                    <w:t>- менее 1 мм, %, не более</w:t>
                  </w:r>
                </w:p>
              </w:tc>
              <w:tc>
                <w:tcPr>
                  <w:tcW w:w="2123" w:type="dxa"/>
                  <w:vAlign w:val="center"/>
                </w:tcPr>
                <w:p w14:paraId="1F6C3BC5">
                  <w:pPr>
                    <w:spacing w:after="0"/>
                    <w:rPr>
                      <w:rFonts w:ascii="Times New Roman" w:hAnsi="Times New Roman" w:cs="Times New Roman"/>
                      <w:bCs/>
                      <w:kern w:val="1"/>
                      <w:sz w:val="20"/>
                      <w:szCs w:val="20"/>
                    </w:rPr>
                  </w:pPr>
                </w:p>
                <w:p w14:paraId="4A01E6F8">
                  <w:pPr>
                    <w:spacing w:after="0"/>
                    <w:rPr>
                      <w:rFonts w:ascii="Times New Roman" w:hAnsi="Times New Roman" w:cs="Times New Roman"/>
                      <w:bCs/>
                      <w:kern w:val="1"/>
                      <w:sz w:val="20"/>
                      <w:szCs w:val="20"/>
                    </w:rPr>
                  </w:pPr>
                </w:p>
                <w:p w14:paraId="684195CD">
                  <w:pPr>
                    <w:spacing w:after="0"/>
                    <w:rPr>
                      <w:rFonts w:ascii="Times New Roman" w:hAnsi="Times New Roman" w:cs="Times New Roman"/>
                      <w:sz w:val="20"/>
                      <w:szCs w:val="20"/>
                    </w:rPr>
                  </w:pPr>
                  <w:r>
                    <w:rPr>
                      <w:rFonts w:ascii="Times New Roman" w:hAnsi="Times New Roman" w:cs="Times New Roman"/>
                      <w:sz w:val="20"/>
                      <w:szCs w:val="20"/>
                    </w:rPr>
                    <w:t>Не допускается</w:t>
                  </w:r>
                </w:p>
                <w:p w14:paraId="0FF0958B">
                  <w:pPr>
                    <w:spacing w:after="0"/>
                    <w:rPr>
                      <w:rFonts w:ascii="Times New Roman" w:hAnsi="Times New Roman" w:cs="Times New Roman"/>
                      <w:sz w:val="20"/>
                      <w:szCs w:val="20"/>
                    </w:rPr>
                  </w:pPr>
                  <w:r>
                    <w:rPr>
                      <w:rFonts w:ascii="Times New Roman" w:hAnsi="Times New Roman" w:cs="Times New Roman"/>
                      <w:sz w:val="20"/>
                      <w:szCs w:val="20"/>
                    </w:rPr>
                    <w:t>10</w:t>
                  </w:r>
                </w:p>
                <w:p w14:paraId="743A4A09">
                  <w:pPr>
                    <w:spacing w:after="0"/>
                    <w:rPr>
                      <w:rFonts w:ascii="Times New Roman" w:hAnsi="Times New Roman" w:cs="Times New Roman"/>
                      <w:sz w:val="20"/>
                      <w:szCs w:val="20"/>
                    </w:rPr>
                  </w:pPr>
                  <w:r>
                    <w:rPr>
                      <w:rFonts w:ascii="Times New Roman" w:hAnsi="Times New Roman" w:cs="Times New Roman"/>
                      <w:sz w:val="20"/>
                      <w:szCs w:val="20"/>
                    </w:rPr>
                    <w:t>80</w:t>
                  </w:r>
                </w:p>
                <w:p w14:paraId="7268C5C0">
                  <w:pPr>
                    <w:spacing w:after="0"/>
                    <w:rPr>
                      <w:rFonts w:ascii="Times New Roman" w:hAnsi="Times New Roman" w:cs="Times New Roman"/>
                      <w:bCs/>
                      <w:kern w:val="1"/>
                      <w:sz w:val="20"/>
                      <w:szCs w:val="20"/>
                    </w:rPr>
                  </w:pPr>
                  <w:r>
                    <w:rPr>
                      <w:rFonts w:ascii="Times New Roman" w:hAnsi="Times New Roman" w:cs="Times New Roman"/>
                      <w:sz w:val="20"/>
                      <w:szCs w:val="20"/>
                    </w:rPr>
                    <w:t>10</w:t>
                  </w:r>
                </w:p>
              </w:tc>
            </w:tr>
            <w:tr w14:paraId="5581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7E9DD72C">
                  <w:pPr>
                    <w:spacing w:after="0"/>
                    <w:rPr>
                      <w:rFonts w:ascii="Times New Roman" w:hAnsi="Times New Roman" w:cs="Times New Roman"/>
                      <w:bCs/>
                      <w:kern w:val="1"/>
                      <w:sz w:val="20"/>
                      <w:szCs w:val="20"/>
                    </w:rPr>
                  </w:pPr>
                  <w:r>
                    <w:rPr>
                      <w:rFonts w:ascii="Times New Roman" w:hAnsi="Times New Roman" w:cs="Times New Roman"/>
                      <w:bCs/>
                      <w:kern w:val="1"/>
                      <w:sz w:val="20"/>
                      <w:szCs w:val="20"/>
                    </w:rPr>
                    <w:t>7. Слеживаемость</w:t>
                  </w:r>
                </w:p>
              </w:tc>
              <w:tc>
                <w:tcPr>
                  <w:tcW w:w="2123" w:type="dxa"/>
                  <w:vAlign w:val="center"/>
                </w:tcPr>
                <w:p w14:paraId="332CEF26">
                  <w:pPr>
                    <w:rPr>
                      <w:rFonts w:ascii="Times New Roman" w:hAnsi="Times New Roman" w:cs="Times New Roman"/>
                      <w:bCs/>
                      <w:kern w:val="1"/>
                      <w:sz w:val="20"/>
                      <w:szCs w:val="20"/>
                    </w:rPr>
                  </w:pPr>
                  <w:r>
                    <w:rPr>
                      <w:rFonts w:ascii="Times New Roman" w:hAnsi="Times New Roman" w:cs="Times New Roman"/>
                      <w:bCs/>
                      <w:kern w:val="1"/>
                      <w:sz w:val="20"/>
                      <w:szCs w:val="20"/>
                    </w:rPr>
                    <w:t>Слипание частиц не допускается</w:t>
                  </w:r>
                </w:p>
              </w:tc>
            </w:tr>
            <w:tr w14:paraId="3D10F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095AD529">
                  <w:pPr>
                    <w:rPr>
                      <w:rFonts w:ascii="Times New Roman" w:hAnsi="Times New Roman" w:cs="Times New Roman"/>
                      <w:bCs/>
                      <w:kern w:val="1"/>
                      <w:sz w:val="20"/>
                      <w:szCs w:val="20"/>
                    </w:rPr>
                  </w:pPr>
                  <w:r>
                    <w:rPr>
                      <w:rFonts w:ascii="Times New Roman" w:hAnsi="Times New Roman" w:cs="Times New Roman"/>
                      <w:bCs/>
                      <w:kern w:val="1"/>
                      <w:sz w:val="20"/>
                      <w:szCs w:val="20"/>
                    </w:rPr>
                    <w:t>8. Массовая доля глины в комках, %, не менее</w:t>
                  </w:r>
                </w:p>
              </w:tc>
              <w:tc>
                <w:tcPr>
                  <w:tcW w:w="2123" w:type="dxa"/>
                  <w:vAlign w:val="center"/>
                </w:tcPr>
                <w:p w14:paraId="3F09AE9B">
                  <w:pPr>
                    <w:rPr>
                      <w:rFonts w:ascii="Times New Roman" w:hAnsi="Times New Roman" w:cs="Times New Roman"/>
                      <w:bCs/>
                      <w:kern w:val="1"/>
                      <w:sz w:val="20"/>
                      <w:szCs w:val="20"/>
                    </w:rPr>
                  </w:pPr>
                  <w:r>
                    <w:rPr>
                      <w:rFonts w:ascii="Times New Roman" w:hAnsi="Times New Roman" w:cs="Times New Roman"/>
                      <w:bCs/>
                      <w:kern w:val="1"/>
                      <w:sz w:val="20"/>
                      <w:szCs w:val="20"/>
                    </w:rPr>
                    <w:t>Не допускается</w:t>
                  </w:r>
                </w:p>
              </w:tc>
            </w:tr>
            <w:tr w14:paraId="6E7B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2B1414C9">
                  <w:pPr>
                    <w:rPr>
                      <w:rFonts w:ascii="Times New Roman" w:hAnsi="Times New Roman" w:cs="Times New Roman"/>
                      <w:bCs/>
                      <w:kern w:val="1"/>
                      <w:sz w:val="20"/>
                      <w:szCs w:val="20"/>
                    </w:rPr>
                  </w:pPr>
                  <w:r>
                    <w:rPr>
                      <w:rFonts w:hint="default" w:cs="Times New Roman"/>
                      <w:bCs/>
                      <w:kern w:val="1"/>
                      <w:sz w:val="20"/>
                      <w:szCs w:val="20"/>
                      <w:lang w:val="ru-RU"/>
                    </w:rPr>
                    <w:t>9</w:t>
                  </w:r>
                  <w:r>
                    <w:rPr>
                      <w:rFonts w:ascii="Times New Roman" w:hAnsi="Times New Roman" w:cs="Times New Roman"/>
                      <w:bCs/>
                      <w:kern w:val="1"/>
                      <w:sz w:val="20"/>
                      <w:szCs w:val="20"/>
                    </w:rPr>
                    <w:t xml:space="preserve">. </w:t>
                  </w:r>
                  <w:r>
                    <w:rPr>
                      <w:rFonts w:ascii="Times New Roman" w:hAnsi="Times New Roman" w:cs="Times New Roman"/>
                      <w:sz w:val="20"/>
                      <w:szCs w:val="20"/>
                      <w:lang w:eastAsia="ar-SA"/>
                    </w:rPr>
                    <w:t>Модуль крупности песка</w:t>
                  </w:r>
                </w:p>
              </w:tc>
              <w:tc>
                <w:tcPr>
                  <w:tcW w:w="2123" w:type="dxa"/>
                  <w:vAlign w:val="center"/>
                </w:tcPr>
                <w:p w14:paraId="6B554A84">
                  <w:pPr>
                    <w:rPr>
                      <w:rFonts w:ascii="Times New Roman" w:hAnsi="Times New Roman" w:cs="Times New Roman"/>
                      <w:bCs/>
                      <w:kern w:val="1"/>
                      <w:sz w:val="20"/>
                      <w:szCs w:val="20"/>
                    </w:rPr>
                  </w:pPr>
                  <w:r>
                    <w:rPr>
                      <w:rFonts w:ascii="Times New Roman" w:hAnsi="Times New Roman" w:cs="Times New Roman"/>
                      <w:sz w:val="20"/>
                      <w:szCs w:val="20"/>
                      <w:lang w:eastAsia="ar-SA"/>
                    </w:rPr>
                    <w:t>2,0-2,5</w:t>
                  </w:r>
                </w:p>
              </w:tc>
            </w:tr>
            <w:tr w14:paraId="7B310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Align w:val="center"/>
                </w:tcPr>
                <w:p w14:paraId="536A8E23">
                  <w:pPr>
                    <w:rPr>
                      <w:rFonts w:hint="default" w:cs="Times New Roman"/>
                      <w:bCs/>
                      <w:kern w:val="1"/>
                      <w:sz w:val="20"/>
                      <w:szCs w:val="20"/>
                      <w:lang w:val="ru-RU"/>
                    </w:rPr>
                  </w:pPr>
                  <w:r>
                    <w:rPr>
                      <w:rFonts w:hint="default" w:cs="Times New Roman"/>
                      <w:bCs/>
                      <w:kern w:val="1"/>
                      <w:sz w:val="20"/>
                      <w:szCs w:val="20"/>
                      <w:lang w:val="ru-RU"/>
                    </w:rPr>
                    <w:t>10 Плотность насыпаная, кг/м3 (г/см3)</w:t>
                  </w:r>
                </w:p>
                <w:p w14:paraId="5B85B95A">
                  <w:pPr>
                    <w:rPr>
                      <w:rFonts w:hint="default" w:cs="Times New Roman"/>
                      <w:bCs/>
                      <w:kern w:val="1"/>
                      <w:sz w:val="20"/>
                      <w:szCs w:val="20"/>
                      <w:lang w:val="ru-RU"/>
                    </w:rPr>
                  </w:pPr>
                  <w:r>
                    <w:rPr>
                      <w:rFonts w:hint="default" w:cs="Times New Roman"/>
                      <w:bCs/>
                      <w:kern w:val="1"/>
                      <w:sz w:val="20"/>
                      <w:szCs w:val="20"/>
                      <w:lang w:val="ru-RU"/>
                    </w:rPr>
                    <w:t>- при фактической влаге</w:t>
                  </w:r>
                </w:p>
                <w:p w14:paraId="659AB57C">
                  <w:pPr>
                    <w:rPr>
                      <w:rFonts w:hint="default" w:cs="Times New Roman"/>
                      <w:bCs/>
                      <w:kern w:val="1"/>
                      <w:sz w:val="20"/>
                      <w:szCs w:val="20"/>
                      <w:lang w:val="ru-RU"/>
                    </w:rPr>
                  </w:pPr>
                  <w:r>
                    <w:rPr>
                      <w:rFonts w:hint="default" w:cs="Times New Roman"/>
                      <w:bCs/>
                      <w:kern w:val="1"/>
                      <w:sz w:val="20"/>
                      <w:szCs w:val="20"/>
                      <w:lang w:val="ru-RU"/>
                    </w:rPr>
                    <w:t>-на сухое вещенство</w:t>
                  </w:r>
                  <w:bookmarkStart w:id="0" w:name="_GoBack"/>
                  <w:bookmarkEnd w:id="0"/>
                </w:p>
              </w:tc>
              <w:tc>
                <w:tcPr>
                  <w:tcW w:w="2123" w:type="dxa"/>
                  <w:vAlign w:val="center"/>
                </w:tcPr>
                <w:p w14:paraId="4A1BFDEE">
                  <w:pPr>
                    <w:rPr>
                      <w:rFonts w:ascii="Times New Roman" w:hAnsi="Times New Roman" w:cs="Times New Roman"/>
                      <w:sz w:val="20"/>
                      <w:szCs w:val="20"/>
                      <w:lang w:eastAsia="ar-SA"/>
                    </w:rPr>
                  </w:pPr>
                </w:p>
              </w:tc>
            </w:tr>
          </w:tbl>
          <w:p w14:paraId="4DC6C6CD">
            <w:pPr>
              <w:pStyle w:val="17"/>
              <w:ind w:left="-180"/>
              <w:rPr>
                <w:bCs/>
                <w:kern w:val="1"/>
                <w:u w:val="single"/>
              </w:rPr>
            </w:pPr>
          </w:p>
          <w:p w14:paraId="277E77DC">
            <w:pPr>
              <w:suppressAutoHyphens/>
              <w:spacing w:after="0"/>
              <w:jc w:val="both"/>
            </w:pPr>
            <w:r>
              <w:rPr>
                <w:rFonts w:ascii="Times New Roman" w:hAnsi="Times New Roman" w:cs="Times New Roman"/>
                <w:lang w:eastAsia="ar-SA"/>
              </w:rPr>
              <w:t>Песок не должен содержать посторонних засоряющих примесей.</w:t>
            </w:r>
          </w:p>
          <w:p w14:paraId="2234DD59">
            <w:pPr>
              <w:autoSpaceDE w:val="0"/>
              <w:autoSpaceDN w:val="0"/>
              <w:adjustRightInd w:val="0"/>
              <w:jc w:val="both"/>
            </w:pPr>
          </w:p>
          <w:p w14:paraId="1C3BA82A">
            <w:pPr>
              <w:autoSpaceDE w:val="0"/>
              <w:autoSpaceDN w:val="0"/>
              <w:adjustRightInd w:val="0"/>
              <w:jc w:val="both"/>
            </w:pPr>
            <w:r>
              <w:t xml:space="preserve">По результат оказанной услуги Исполнитель предоставляет: </w:t>
            </w:r>
          </w:p>
          <w:p w14:paraId="47710AE3">
            <w:pPr>
              <w:autoSpaceDE w:val="0"/>
              <w:autoSpaceDN w:val="0"/>
              <w:adjustRightInd w:val="0"/>
              <w:jc w:val="both"/>
            </w:pPr>
            <w:r>
              <w:t>- Протокол исследования в 2 экземплярах;</w:t>
            </w:r>
          </w:p>
        </w:tc>
        <w:tc>
          <w:tcPr>
            <w:tcW w:w="1275" w:type="dxa"/>
            <w:tcBorders>
              <w:top w:val="single" w:color="auto" w:sz="4" w:space="0"/>
              <w:left w:val="single" w:color="auto" w:sz="4" w:space="0"/>
              <w:bottom w:val="single" w:color="auto" w:sz="4" w:space="0"/>
              <w:right w:val="single" w:color="auto" w:sz="4" w:space="0"/>
            </w:tcBorders>
          </w:tcPr>
          <w:p w14:paraId="08B29F0E">
            <w:pPr>
              <w:ind w:left="34"/>
              <w:rPr>
                <w:rFonts w:hint="default"/>
                <w:kern w:val="2"/>
                <w:sz w:val="20"/>
                <w:szCs w:val="20"/>
                <w:lang w:val="ru-RU"/>
              </w:rPr>
            </w:pPr>
            <w:r>
              <w:rPr>
                <w:kern w:val="2"/>
                <w:sz w:val="20"/>
                <w:szCs w:val="20"/>
                <w:lang w:val="ru-RU"/>
              </w:rPr>
              <w:t>Усл</w:t>
            </w:r>
            <w:r>
              <w:rPr>
                <w:rFonts w:hint="default"/>
                <w:kern w:val="2"/>
                <w:sz w:val="20"/>
                <w:szCs w:val="20"/>
                <w:lang w:val="ru-RU"/>
              </w:rPr>
              <w:t>. ед</w:t>
            </w:r>
          </w:p>
        </w:tc>
        <w:tc>
          <w:tcPr>
            <w:tcW w:w="852" w:type="dxa"/>
            <w:tcBorders>
              <w:top w:val="single" w:color="auto" w:sz="4" w:space="0"/>
              <w:left w:val="single" w:color="auto" w:sz="4" w:space="0"/>
              <w:bottom w:val="single" w:color="auto" w:sz="4" w:space="0"/>
              <w:right w:val="single" w:color="auto" w:sz="4" w:space="0"/>
            </w:tcBorders>
          </w:tcPr>
          <w:p w14:paraId="3B706D15">
            <w:pPr>
              <w:tabs>
                <w:tab w:val="left" w:pos="456"/>
                <w:tab w:val="center" w:pos="522"/>
              </w:tabs>
              <w:ind w:left="34"/>
              <w:rPr>
                <w:rFonts w:hint="default"/>
                <w:kern w:val="2"/>
                <w:sz w:val="20"/>
                <w:szCs w:val="20"/>
                <w:lang w:val="ru-RU"/>
              </w:rPr>
            </w:pPr>
            <w:r>
              <w:rPr>
                <w:rFonts w:hint="default"/>
                <w:kern w:val="2"/>
                <w:sz w:val="20"/>
                <w:szCs w:val="20"/>
                <w:lang w:val="ru-RU"/>
              </w:rPr>
              <w:t>4</w:t>
            </w:r>
          </w:p>
        </w:tc>
        <w:tc>
          <w:tcPr>
            <w:tcW w:w="1135" w:type="dxa"/>
            <w:tcBorders>
              <w:top w:val="single" w:color="auto" w:sz="4" w:space="0"/>
              <w:left w:val="single" w:color="auto" w:sz="4" w:space="0"/>
              <w:bottom w:val="single" w:color="auto" w:sz="4" w:space="0"/>
              <w:right w:val="single" w:color="auto" w:sz="4" w:space="0"/>
            </w:tcBorders>
          </w:tcPr>
          <w:p w14:paraId="652ED3B5">
            <w:pPr>
              <w:tabs>
                <w:tab w:val="left" w:pos="456"/>
                <w:tab w:val="center" w:pos="522"/>
              </w:tabs>
              <w:jc w:val="center"/>
            </w:pPr>
          </w:p>
        </w:tc>
        <w:tc>
          <w:tcPr>
            <w:tcW w:w="1135" w:type="dxa"/>
            <w:tcBorders>
              <w:top w:val="single" w:color="auto" w:sz="4" w:space="0"/>
              <w:left w:val="single" w:color="auto" w:sz="4" w:space="0"/>
              <w:bottom w:val="single" w:color="auto" w:sz="4" w:space="0"/>
              <w:right w:val="single" w:color="auto" w:sz="4" w:space="0"/>
            </w:tcBorders>
          </w:tcPr>
          <w:p w14:paraId="2AA0BC50">
            <w:pPr>
              <w:tabs>
                <w:tab w:val="left" w:pos="456"/>
                <w:tab w:val="center" w:pos="522"/>
              </w:tabs>
              <w:jc w:val="center"/>
            </w:pPr>
          </w:p>
        </w:tc>
      </w:tr>
    </w:tbl>
    <w:p w14:paraId="29B67638">
      <w:pPr>
        <w:shd w:val="clear" w:color="auto" w:fill="FFFFFF"/>
        <w:jc w:val="center"/>
      </w:pPr>
    </w:p>
    <w:tbl>
      <w:tblPr>
        <w:tblStyle w:val="3"/>
        <w:tblW w:w="10012" w:type="dxa"/>
        <w:tblInd w:w="0" w:type="dxa"/>
        <w:tblLayout w:type="fixed"/>
        <w:tblCellMar>
          <w:top w:w="0" w:type="dxa"/>
          <w:left w:w="108" w:type="dxa"/>
          <w:bottom w:w="0" w:type="dxa"/>
          <w:right w:w="108" w:type="dxa"/>
        </w:tblCellMar>
      </w:tblPr>
      <w:tblGrid>
        <w:gridCol w:w="5006"/>
        <w:gridCol w:w="5006"/>
      </w:tblGrid>
      <w:tr w14:paraId="38518D50">
        <w:tblPrEx>
          <w:tblCellMar>
            <w:top w:w="0" w:type="dxa"/>
            <w:left w:w="108" w:type="dxa"/>
            <w:bottom w:w="0" w:type="dxa"/>
            <w:right w:w="108" w:type="dxa"/>
          </w:tblCellMar>
        </w:tblPrEx>
        <w:tc>
          <w:tcPr>
            <w:tcW w:w="5006" w:type="dxa"/>
            <w:shd w:val="clear" w:color="auto" w:fill="auto"/>
          </w:tcPr>
          <w:p w14:paraId="40E36786">
            <w:pPr>
              <w:shd w:val="clear" w:color="auto" w:fill="FFFFFF"/>
              <w:jc w:val="center"/>
              <w:rPr>
                <w:bCs/>
                <w:spacing w:val="-1"/>
              </w:rPr>
            </w:pPr>
            <w:r>
              <w:rPr>
                <w:bCs/>
                <w:spacing w:val="-1"/>
              </w:rPr>
              <w:t>Заказчик:</w:t>
            </w:r>
          </w:p>
        </w:tc>
        <w:tc>
          <w:tcPr>
            <w:tcW w:w="5006" w:type="dxa"/>
            <w:shd w:val="clear" w:color="auto" w:fill="auto"/>
          </w:tcPr>
          <w:p w14:paraId="681C38FC">
            <w:pPr>
              <w:shd w:val="clear" w:color="auto" w:fill="FFFFFF"/>
              <w:jc w:val="center"/>
            </w:pPr>
            <w:r>
              <w:rPr>
                <w:bCs/>
                <w:spacing w:val="-1"/>
              </w:rPr>
              <w:t>Исполнитель:</w:t>
            </w:r>
          </w:p>
        </w:tc>
      </w:tr>
      <w:tr w14:paraId="4F308AD2">
        <w:tblPrEx>
          <w:tblCellMar>
            <w:top w:w="0" w:type="dxa"/>
            <w:left w:w="108" w:type="dxa"/>
            <w:bottom w:w="0" w:type="dxa"/>
            <w:right w:w="108" w:type="dxa"/>
          </w:tblCellMar>
        </w:tblPrEx>
        <w:tc>
          <w:tcPr>
            <w:tcW w:w="5006" w:type="dxa"/>
            <w:shd w:val="clear" w:color="auto" w:fill="auto"/>
          </w:tcPr>
          <w:p w14:paraId="2AEF2921">
            <w:pPr>
              <w:snapToGrid w:val="0"/>
            </w:pPr>
          </w:p>
        </w:tc>
        <w:tc>
          <w:tcPr>
            <w:tcW w:w="5006" w:type="dxa"/>
            <w:shd w:val="clear" w:color="auto" w:fill="auto"/>
          </w:tcPr>
          <w:p w14:paraId="26E971B9">
            <w:pPr>
              <w:snapToGrid w:val="0"/>
            </w:pPr>
          </w:p>
        </w:tc>
      </w:tr>
    </w:tbl>
    <w:p w14:paraId="03C2CF28">
      <w:pPr>
        <w:shd w:val="clear" w:color="auto" w:fill="FFFFFF"/>
        <w:jc w:val="right"/>
        <w:rPr>
          <w:rFonts w:ascii="Arial" w:hAnsi="Arial" w:cs="Arial"/>
          <w:bCs/>
          <w:sz w:val="20"/>
        </w:rPr>
      </w:pPr>
    </w:p>
    <w:p w14:paraId="5424C954">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
        <w:t>_____________________/______________</w:t>
      </w:r>
      <w:r>
        <w:tab/>
      </w:r>
      <w:r>
        <w:tab/>
      </w:r>
      <w:r>
        <w:t>_______________/_______________</w:t>
      </w:r>
    </w:p>
    <w:sectPr>
      <w:pgSz w:w="11906" w:h="16838"/>
      <w:pgMar w:top="568" w:right="1274" w:bottom="719" w:left="1418" w:header="720" w:footer="720" w:gutter="0"/>
      <w:cols w:space="720" w:num="1"/>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Mangal">
    <w:panose1 w:val="02040503050203030202"/>
    <w:charset w:val="00"/>
    <w:family w:val="roman"/>
    <w:pitch w:val="default"/>
    <w:sig w:usb0="00008003" w:usb1="00000000" w:usb2="00000000" w:usb3="00000000" w:csb0="00000001" w:csb1="00000000"/>
  </w:font>
  <w:font w:name="Andale Sans UI">
    <w:altName w:val="Arial Unicode MS"/>
    <w:panose1 w:val="00000000000000000000"/>
    <w:charset w:val="00"/>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documentProtection w:enforcement="0"/>
  <w:defaultTabStop w:val="708"/>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doNotCompress"/>
  <w:compat>
    <w:compatSetting w:name="compatibilityMode" w:uri="http://schemas.microsoft.com/office/word" w:val="12"/>
  </w:compat>
  <w:rsids>
    <w:rsidRoot w:val="00E90116"/>
    <w:rsid w:val="00003AA9"/>
    <w:rsid w:val="000051B7"/>
    <w:rsid w:val="0001395E"/>
    <w:rsid w:val="00034AB9"/>
    <w:rsid w:val="00054E93"/>
    <w:rsid w:val="000564B1"/>
    <w:rsid w:val="00056DDF"/>
    <w:rsid w:val="000627C7"/>
    <w:rsid w:val="00086E2F"/>
    <w:rsid w:val="00094739"/>
    <w:rsid w:val="00094942"/>
    <w:rsid w:val="000A4EFE"/>
    <w:rsid w:val="000B7818"/>
    <w:rsid w:val="000C4F87"/>
    <w:rsid w:val="000C7378"/>
    <w:rsid w:val="000D4D88"/>
    <w:rsid w:val="000E130D"/>
    <w:rsid w:val="000E508F"/>
    <w:rsid w:val="000E6251"/>
    <w:rsid w:val="000F55EB"/>
    <w:rsid w:val="00116BD5"/>
    <w:rsid w:val="00124742"/>
    <w:rsid w:val="00133712"/>
    <w:rsid w:val="00133CE5"/>
    <w:rsid w:val="00140561"/>
    <w:rsid w:val="00147A3F"/>
    <w:rsid w:val="001512CB"/>
    <w:rsid w:val="00165878"/>
    <w:rsid w:val="00180261"/>
    <w:rsid w:val="00191821"/>
    <w:rsid w:val="001970B2"/>
    <w:rsid w:val="001A0AF2"/>
    <w:rsid w:val="001A5ABD"/>
    <w:rsid w:val="001D3332"/>
    <w:rsid w:val="0020398B"/>
    <w:rsid w:val="00223F6F"/>
    <w:rsid w:val="00245E78"/>
    <w:rsid w:val="002537B2"/>
    <w:rsid w:val="00253DA6"/>
    <w:rsid w:val="00257E53"/>
    <w:rsid w:val="00267549"/>
    <w:rsid w:val="00272CD8"/>
    <w:rsid w:val="00272DAD"/>
    <w:rsid w:val="00273EAC"/>
    <w:rsid w:val="0027799B"/>
    <w:rsid w:val="00286D83"/>
    <w:rsid w:val="002A6CA9"/>
    <w:rsid w:val="002A6F81"/>
    <w:rsid w:val="002B0FA6"/>
    <w:rsid w:val="002E358E"/>
    <w:rsid w:val="002E5B54"/>
    <w:rsid w:val="002F49C0"/>
    <w:rsid w:val="00305422"/>
    <w:rsid w:val="00313F66"/>
    <w:rsid w:val="00316EA1"/>
    <w:rsid w:val="00320924"/>
    <w:rsid w:val="003270CD"/>
    <w:rsid w:val="0033043A"/>
    <w:rsid w:val="00330FCD"/>
    <w:rsid w:val="00333468"/>
    <w:rsid w:val="003334DB"/>
    <w:rsid w:val="0033566D"/>
    <w:rsid w:val="003360B0"/>
    <w:rsid w:val="00353E68"/>
    <w:rsid w:val="00363F45"/>
    <w:rsid w:val="0036594A"/>
    <w:rsid w:val="00374531"/>
    <w:rsid w:val="00394750"/>
    <w:rsid w:val="003C1D06"/>
    <w:rsid w:val="003C6699"/>
    <w:rsid w:val="003D5223"/>
    <w:rsid w:val="003E2496"/>
    <w:rsid w:val="003F32DC"/>
    <w:rsid w:val="0040030A"/>
    <w:rsid w:val="00400C6A"/>
    <w:rsid w:val="004101C3"/>
    <w:rsid w:val="0042072C"/>
    <w:rsid w:val="00423203"/>
    <w:rsid w:val="00431B06"/>
    <w:rsid w:val="00471084"/>
    <w:rsid w:val="00483057"/>
    <w:rsid w:val="00484620"/>
    <w:rsid w:val="004847F1"/>
    <w:rsid w:val="00486F37"/>
    <w:rsid w:val="004870F6"/>
    <w:rsid w:val="0049681B"/>
    <w:rsid w:val="004A15F4"/>
    <w:rsid w:val="004A1EAA"/>
    <w:rsid w:val="004C78C3"/>
    <w:rsid w:val="004E4BE1"/>
    <w:rsid w:val="004F286C"/>
    <w:rsid w:val="00507FD9"/>
    <w:rsid w:val="0051046E"/>
    <w:rsid w:val="00530947"/>
    <w:rsid w:val="005343BE"/>
    <w:rsid w:val="0054006B"/>
    <w:rsid w:val="00586C1C"/>
    <w:rsid w:val="00593F54"/>
    <w:rsid w:val="00596BBA"/>
    <w:rsid w:val="005A21F1"/>
    <w:rsid w:val="005B2C11"/>
    <w:rsid w:val="005D3019"/>
    <w:rsid w:val="005F1E07"/>
    <w:rsid w:val="00623FF0"/>
    <w:rsid w:val="006333AA"/>
    <w:rsid w:val="00634292"/>
    <w:rsid w:val="00642ABC"/>
    <w:rsid w:val="00643D07"/>
    <w:rsid w:val="00662F28"/>
    <w:rsid w:val="00663057"/>
    <w:rsid w:val="00672DE5"/>
    <w:rsid w:val="00673069"/>
    <w:rsid w:val="006820A5"/>
    <w:rsid w:val="006956C0"/>
    <w:rsid w:val="00697120"/>
    <w:rsid w:val="006A3E01"/>
    <w:rsid w:val="006A4DD8"/>
    <w:rsid w:val="006B2645"/>
    <w:rsid w:val="006B6E7A"/>
    <w:rsid w:val="006D1DD8"/>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078CC"/>
    <w:rsid w:val="008151C8"/>
    <w:rsid w:val="00820447"/>
    <w:rsid w:val="008310AA"/>
    <w:rsid w:val="00846D8F"/>
    <w:rsid w:val="00865EAD"/>
    <w:rsid w:val="008A3DFB"/>
    <w:rsid w:val="008D347C"/>
    <w:rsid w:val="008E0B74"/>
    <w:rsid w:val="008E0EF2"/>
    <w:rsid w:val="008F2CBD"/>
    <w:rsid w:val="00915151"/>
    <w:rsid w:val="00917983"/>
    <w:rsid w:val="00932D4F"/>
    <w:rsid w:val="0096183B"/>
    <w:rsid w:val="0097260C"/>
    <w:rsid w:val="00993C68"/>
    <w:rsid w:val="00996E31"/>
    <w:rsid w:val="009A7D72"/>
    <w:rsid w:val="009B0363"/>
    <w:rsid w:val="009D797B"/>
    <w:rsid w:val="009E107D"/>
    <w:rsid w:val="009F0C1A"/>
    <w:rsid w:val="00A16D2C"/>
    <w:rsid w:val="00A24B19"/>
    <w:rsid w:val="00A346F9"/>
    <w:rsid w:val="00A403B6"/>
    <w:rsid w:val="00A52BEA"/>
    <w:rsid w:val="00AA636B"/>
    <w:rsid w:val="00AF71BD"/>
    <w:rsid w:val="00B05357"/>
    <w:rsid w:val="00B148A4"/>
    <w:rsid w:val="00B16AEA"/>
    <w:rsid w:val="00B25F16"/>
    <w:rsid w:val="00B334F8"/>
    <w:rsid w:val="00B8029E"/>
    <w:rsid w:val="00B8412F"/>
    <w:rsid w:val="00B852D7"/>
    <w:rsid w:val="00B8740A"/>
    <w:rsid w:val="00B9482C"/>
    <w:rsid w:val="00BA34C9"/>
    <w:rsid w:val="00BA5F84"/>
    <w:rsid w:val="00BB0CDD"/>
    <w:rsid w:val="00BB1A20"/>
    <w:rsid w:val="00BB7307"/>
    <w:rsid w:val="00BD2561"/>
    <w:rsid w:val="00BD3AD9"/>
    <w:rsid w:val="00BE088C"/>
    <w:rsid w:val="00BF31BE"/>
    <w:rsid w:val="00BF54EF"/>
    <w:rsid w:val="00BF6A75"/>
    <w:rsid w:val="00C23E98"/>
    <w:rsid w:val="00C3242F"/>
    <w:rsid w:val="00C35F04"/>
    <w:rsid w:val="00C44AF6"/>
    <w:rsid w:val="00C539AD"/>
    <w:rsid w:val="00C80E6D"/>
    <w:rsid w:val="00CA0B4C"/>
    <w:rsid w:val="00CA3DB2"/>
    <w:rsid w:val="00CB1079"/>
    <w:rsid w:val="00CB7246"/>
    <w:rsid w:val="00CC21D6"/>
    <w:rsid w:val="00CD28EA"/>
    <w:rsid w:val="00CE4325"/>
    <w:rsid w:val="00CE670A"/>
    <w:rsid w:val="00D01F16"/>
    <w:rsid w:val="00D13B71"/>
    <w:rsid w:val="00D203F1"/>
    <w:rsid w:val="00D2130D"/>
    <w:rsid w:val="00D25E24"/>
    <w:rsid w:val="00D26B73"/>
    <w:rsid w:val="00D26CAE"/>
    <w:rsid w:val="00D27A97"/>
    <w:rsid w:val="00D3046E"/>
    <w:rsid w:val="00D41684"/>
    <w:rsid w:val="00D4219B"/>
    <w:rsid w:val="00D5130A"/>
    <w:rsid w:val="00D527E2"/>
    <w:rsid w:val="00D63077"/>
    <w:rsid w:val="00D718D6"/>
    <w:rsid w:val="00D77BD0"/>
    <w:rsid w:val="00D8479D"/>
    <w:rsid w:val="00D93A0D"/>
    <w:rsid w:val="00D94037"/>
    <w:rsid w:val="00D95DE7"/>
    <w:rsid w:val="00DA1F94"/>
    <w:rsid w:val="00DB7E01"/>
    <w:rsid w:val="00DD11EA"/>
    <w:rsid w:val="00DD3D71"/>
    <w:rsid w:val="00DE3978"/>
    <w:rsid w:val="00DE52F0"/>
    <w:rsid w:val="00DF65BE"/>
    <w:rsid w:val="00DF7BEE"/>
    <w:rsid w:val="00E0176D"/>
    <w:rsid w:val="00E30E7B"/>
    <w:rsid w:val="00E3564B"/>
    <w:rsid w:val="00E5232B"/>
    <w:rsid w:val="00E5382B"/>
    <w:rsid w:val="00E556A5"/>
    <w:rsid w:val="00E55E7D"/>
    <w:rsid w:val="00E57619"/>
    <w:rsid w:val="00E75028"/>
    <w:rsid w:val="00E8485D"/>
    <w:rsid w:val="00E90116"/>
    <w:rsid w:val="00E95D9D"/>
    <w:rsid w:val="00EA1552"/>
    <w:rsid w:val="00EA2CF2"/>
    <w:rsid w:val="00EA3AA9"/>
    <w:rsid w:val="00EA7EE5"/>
    <w:rsid w:val="00ED10C2"/>
    <w:rsid w:val="00ED5FF3"/>
    <w:rsid w:val="00EE1C22"/>
    <w:rsid w:val="00EE3D21"/>
    <w:rsid w:val="00EF347C"/>
    <w:rsid w:val="00EF357C"/>
    <w:rsid w:val="00EF6A9B"/>
    <w:rsid w:val="00F0120E"/>
    <w:rsid w:val="00F1445A"/>
    <w:rsid w:val="00F32E43"/>
    <w:rsid w:val="00F566CE"/>
    <w:rsid w:val="00F739D6"/>
    <w:rsid w:val="00F80D87"/>
    <w:rsid w:val="00F84280"/>
    <w:rsid w:val="00FB257A"/>
    <w:rsid w:val="00FC4D6D"/>
    <w:rsid w:val="00FC7476"/>
    <w:rsid w:val="00FE19EF"/>
    <w:rsid w:val="1F7C67AD"/>
    <w:rsid w:val="2CFB5FF0"/>
    <w:rsid w:val="4A5071C2"/>
    <w:rsid w:val="6C0C0A9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qFormat="1" w:unhideWhenUsed="0" w:uiPriority="99" w:semiHidden="0" w:name="No Spacing"/>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ar-SA"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qFormat/>
    <w:uiPriority w:val="0"/>
    <w:rPr>
      <w:color w:val="0000FF"/>
      <w:u w:val="single"/>
    </w:rPr>
  </w:style>
  <w:style w:type="character" w:styleId="5">
    <w:name w:val="Strong"/>
    <w:qFormat/>
    <w:uiPriority w:val="0"/>
    <w:rPr>
      <w:b/>
      <w:bCs/>
    </w:rPr>
  </w:style>
  <w:style w:type="paragraph" w:styleId="6">
    <w:name w:val="Balloon Text"/>
    <w:basedOn w:val="1"/>
    <w:semiHidden/>
    <w:qFormat/>
    <w:uiPriority w:val="0"/>
    <w:rPr>
      <w:rFonts w:ascii="Tahoma" w:hAnsi="Tahoma" w:cs="Tahoma"/>
      <w:sz w:val="16"/>
      <w:szCs w:val="16"/>
    </w:rPr>
  </w:style>
  <w:style w:type="paragraph" w:styleId="7">
    <w:name w:val="Body Text Indent 3"/>
    <w:basedOn w:val="1"/>
    <w:qFormat/>
    <w:uiPriority w:val="0"/>
    <w:pPr>
      <w:spacing w:after="120"/>
      <w:ind w:left="283"/>
    </w:pPr>
    <w:rPr>
      <w:sz w:val="16"/>
      <w:szCs w:val="16"/>
    </w:rPr>
  </w:style>
  <w:style w:type="paragraph" w:styleId="8">
    <w:name w:val="Body Text"/>
    <w:basedOn w:val="1"/>
    <w:qFormat/>
    <w:uiPriority w:val="0"/>
    <w:pPr>
      <w:jc w:val="both"/>
    </w:pPr>
  </w:style>
  <w:style w:type="paragraph" w:styleId="9">
    <w:name w:val="Title"/>
    <w:basedOn w:val="1"/>
    <w:next w:val="8"/>
    <w:qFormat/>
    <w:uiPriority w:val="0"/>
    <w:pPr>
      <w:keepNext/>
      <w:spacing w:before="240" w:after="120"/>
    </w:pPr>
    <w:rPr>
      <w:rFonts w:ascii="Arial" w:hAnsi="Arial" w:eastAsia="Arial Unicode MS" w:cs="Mangal"/>
      <w:sz w:val="28"/>
      <w:szCs w:val="28"/>
    </w:rPr>
  </w:style>
  <w:style w:type="paragraph" w:styleId="10">
    <w:name w:val="List"/>
    <w:basedOn w:val="8"/>
    <w:qFormat/>
    <w:uiPriority w:val="0"/>
    <w:rPr>
      <w:rFonts w:cs="Mangal"/>
    </w:rPr>
  </w:style>
  <w:style w:type="paragraph" w:styleId="11">
    <w:name w:val="Normal (Web)"/>
    <w:basedOn w:val="1"/>
    <w:link w:val="39"/>
    <w:qFormat/>
    <w:uiPriority w:val="99"/>
    <w:pPr>
      <w:suppressAutoHyphens w:val="0"/>
      <w:spacing w:before="100" w:beforeAutospacing="1" w:after="100" w:afterAutospacing="1"/>
    </w:pPr>
    <w:rPr>
      <w:rFonts w:eastAsia="Calibri"/>
      <w:lang w:eastAsia="ru-RU"/>
    </w:rPr>
  </w:style>
  <w:style w:type="table" w:styleId="12">
    <w:name w:val="Table Grid"/>
    <w:basedOn w:val="3"/>
    <w:qFormat/>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Основной шрифт абзаца1"/>
    <w:qFormat/>
    <w:uiPriority w:val="0"/>
  </w:style>
  <w:style w:type="character" w:customStyle="1" w:styleId="14">
    <w:name w:val="!Основной Знак"/>
    <w:qFormat/>
    <w:uiPriority w:val="0"/>
    <w:rPr>
      <w:sz w:val="22"/>
      <w:lang w:val="ru-RU" w:eastAsia="ar-SA" w:bidi="ar-SA"/>
    </w:rPr>
  </w:style>
  <w:style w:type="paragraph" w:customStyle="1" w:styleId="15">
    <w:name w:val="Название1"/>
    <w:basedOn w:val="1"/>
    <w:qFormat/>
    <w:uiPriority w:val="0"/>
    <w:pPr>
      <w:suppressLineNumbers/>
      <w:spacing w:before="120" w:after="120"/>
    </w:pPr>
    <w:rPr>
      <w:rFonts w:cs="Mangal"/>
      <w:i/>
      <w:iCs/>
    </w:rPr>
  </w:style>
  <w:style w:type="paragraph" w:customStyle="1" w:styleId="16">
    <w:name w:val="Указатель1"/>
    <w:basedOn w:val="1"/>
    <w:qFormat/>
    <w:uiPriority w:val="0"/>
    <w:pPr>
      <w:suppressLineNumbers/>
    </w:pPr>
    <w:rPr>
      <w:rFonts w:cs="Mangal"/>
    </w:rPr>
  </w:style>
  <w:style w:type="paragraph" w:styleId="17">
    <w:name w:val="List Paragraph"/>
    <w:basedOn w:val="1"/>
    <w:link w:val="35"/>
    <w:qFormat/>
    <w:uiPriority w:val="0"/>
    <w:pPr>
      <w:ind w:left="720"/>
    </w:pPr>
    <w:rPr>
      <w:sz w:val="20"/>
      <w:szCs w:val="20"/>
    </w:rPr>
  </w:style>
  <w:style w:type="paragraph" w:customStyle="1" w:styleId="18">
    <w:name w:val="!Основной"/>
    <w:qFormat/>
    <w:uiPriority w:val="0"/>
    <w:pPr>
      <w:keepNext/>
      <w:suppressAutoHyphens/>
      <w:ind w:firstLine="567"/>
      <w:jc w:val="both"/>
    </w:pPr>
    <w:rPr>
      <w:rFonts w:ascii="Times New Roman" w:hAnsi="Times New Roman" w:eastAsia="Times New Roman" w:cs="Times New Roman"/>
      <w:sz w:val="22"/>
      <w:lang w:val="ru-RU" w:eastAsia="ar-SA" w:bidi="ar-SA"/>
    </w:rPr>
  </w:style>
  <w:style w:type="paragraph" w:customStyle="1" w:styleId="19">
    <w:name w:val="Отступ основного текста"/>
    <w:basedOn w:val="1"/>
    <w:qFormat/>
    <w:uiPriority w:val="0"/>
    <w:pPr>
      <w:widowControl w:val="0"/>
      <w:tabs>
        <w:tab w:val="left" w:pos="3261"/>
      </w:tabs>
    </w:pPr>
    <w:rPr>
      <w:rFonts w:ascii="Arial" w:hAnsi="Arial" w:cs="Arial"/>
      <w:b/>
    </w:rPr>
  </w:style>
  <w:style w:type="paragraph" w:customStyle="1" w:styleId="20">
    <w:name w:val="ConsNonformat"/>
    <w:qFormat/>
    <w:uiPriority w:val="0"/>
    <w:pPr>
      <w:widowControl w:val="0"/>
      <w:suppressAutoHyphens/>
      <w:autoSpaceDE w:val="0"/>
    </w:pPr>
    <w:rPr>
      <w:rFonts w:ascii="Courier New" w:hAnsi="Courier New" w:eastAsia="Times New Roman" w:cs="Courier New"/>
      <w:lang w:val="ru-RU" w:eastAsia="ar-SA" w:bidi="ar-SA"/>
    </w:rPr>
  </w:style>
  <w:style w:type="paragraph" w:customStyle="1" w:styleId="21">
    <w:name w:val="Знак1"/>
    <w:basedOn w:val="1"/>
    <w:qFormat/>
    <w:uiPriority w:val="0"/>
    <w:pPr>
      <w:spacing w:before="280" w:after="280"/>
    </w:pPr>
    <w:rPr>
      <w:rFonts w:ascii="Tahoma" w:hAnsi="Tahoma" w:cs="Tahoma"/>
      <w:sz w:val="20"/>
      <w:szCs w:val="20"/>
      <w:lang w:val="en-US"/>
    </w:rPr>
  </w:style>
  <w:style w:type="paragraph" w:customStyle="1" w:styleId="22">
    <w:name w:val="Default Text"/>
    <w:qFormat/>
    <w:uiPriority w:val="0"/>
    <w:pPr>
      <w:suppressAutoHyphens/>
    </w:pPr>
    <w:rPr>
      <w:rFonts w:ascii="Times New Roman" w:hAnsi="Times New Roman" w:eastAsia="Times New Roman" w:cs="Times New Roman"/>
      <w:kern w:val="1"/>
      <w:sz w:val="24"/>
      <w:szCs w:val="24"/>
      <w:lang w:val="ru-RU" w:eastAsia="ar-SA" w:bidi="ar-SA"/>
    </w:rPr>
  </w:style>
  <w:style w:type="paragraph" w:customStyle="1" w:styleId="23">
    <w:name w:val="Знак11"/>
    <w:basedOn w:val="1"/>
    <w:qFormat/>
    <w:uiPriority w:val="0"/>
    <w:pPr>
      <w:spacing w:before="280" w:after="280"/>
    </w:pPr>
    <w:rPr>
      <w:rFonts w:ascii="Tahoma" w:hAnsi="Tahoma" w:cs="Tahoma"/>
      <w:sz w:val="20"/>
      <w:szCs w:val="20"/>
      <w:lang w:val="en-US"/>
    </w:rPr>
  </w:style>
  <w:style w:type="paragraph" w:customStyle="1" w:styleId="24">
    <w:name w:val="Основной текст с отступом 31"/>
    <w:basedOn w:val="1"/>
    <w:qFormat/>
    <w:uiPriority w:val="0"/>
    <w:pPr>
      <w:spacing w:after="120"/>
      <w:ind w:left="283"/>
    </w:pPr>
    <w:rPr>
      <w:sz w:val="16"/>
      <w:szCs w:val="16"/>
    </w:rPr>
  </w:style>
  <w:style w:type="paragraph" w:customStyle="1" w:styleId="25">
    <w:name w:val="Содержимое таблицы"/>
    <w:basedOn w:val="1"/>
    <w:qFormat/>
    <w:uiPriority w:val="0"/>
    <w:pPr>
      <w:suppressLineNumbers/>
    </w:pPr>
  </w:style>
  <w:style w:type="paragraph" w:customStyle="1" w:styleId="26">
    <w:name w:val="Заголовок таблицы"/>
    <w:basedOn w:val="25"/>
    <w:qFormat/>
    <w:uiPriority w:val="0"/>
    <w:pPr>
      <w:jc w:val="center"/>
    </w:pPr>
    <w:rPr>
      <w:b/>
      <w:bCs/>
    </w:rPr>
  </w:style>
  <w:style w:type="paragraph" w:customStyle="1" w:styleId="27">
    <w:name w:val="Содержимое врезки"/>
    <w:basedOn w:val="8"/>
    <w:qFormat/>
    <w:uiPriority w:val="0"/>
  </w:style>
  <w:style w:type="character" w:customStyle="1" w:styleId="28">
    <w:name w:val="Гипертекстовая ссылка"/>
    <w:qFormat/>
    <w:uiPriority w:val="0"/>
    <w:rPr>
      <w:color w:val="106BBE"/>
    </w:rPr>
  </w:style>
  <w:style w:type="paragraph" w:customStyle="1" w:styleId="29">
    <w:name w:val="Обычный + по ширине"/>
    <w:basedOn w:val="1"/>
    <w:qFormat/>
    <w:uiPriority w:val="0"/>
    <w:pPr>
      <w:suppressAutoHyphens w:val="0"/>
      <w:jc w:val="both"/>
    </w:pPr>
    <w:rPr>
      <w:lang w:eastAsia="ru-RU"/>
    </w:rPr>
  </w:style>
  <w:style w:type="character" w:customStyle="1" w:styleId="30">
    <w:name w:val="pinkbg1"/>
    <w:qFormat/>
    <w:uiPriority w:val="0"/>
    <w:rPr>
      <w:shd w:val="clear" w:color="auto" w:fill="FDD7C9"/>
    </w:rPr>
  </w:style>
  <w:style w:type="paragraph" w:customStyle="1" w:styleId="31">
    <w:name w:val="Default"/>
    <w:qFormat/>
    <w:uiPriority w:val="0"/>
    <w:pPr>
      <w:autoSpaceDE w:val="0"/>
      <w:autoSpaceDN w:val="0"/>
      <w:adjustRightInd w:val="0"/>
    </w:pPr>
    <w:rPr>
      <w:rFonts w:ascii="Arial" w:hAnsi="Arial" w:eastAsia="Times New Roman" w:cs="Arial"/>
      <w:color w:val="000000"/>
      <w:sz w:val="24"/>
      <w:szCs w:val="24"/>
      <w:lang w:val="ru-RU" w:eastAsia="en-US" w:bidi="ar-SA"/>
    </w:rPr>
  </w:style>
  <w:style w:type="paragraph" w:customStyle="1" w:styleId="32">
    <w:name w:val="western"/>
    <w:basedOn w:val="1"/>
    <w:qFormat/>
    <w:uiPriority w:val="99"/>
    <w:pPr>
      <w:suppressAutoHyphens w:val="0"/>
      <w:spacing w:before="100" w:beforeAutospacing="1" w:after="100" w:afterAutospacing="1"/>
    </w:pPr>
    <w:rPr>
      <w:lang w:eastAsia="ru-RU"/>
    </w:rPr>
  </w:style>
  <w:style w:type="paragraph" w:customStyle="1" w:styleId="33">
    <w:name w:val="ConsPlusNormal"/>
    <w:link w:val="34"/>
    <w:qFormat/>
    <w:uiPriority w:val="0"/>
    <w:pPr>
      <w:widowControl w:val="0"/>
      <w:autoSpaceDE w:val="0"/>
      <w:autoSpaceDN w:val="0"/>
      <w:adjustRightInd w:val="0"/>
      <w:ind w:firstLine="720"/>
    </w:pPr>
    <w:rPr>
      <w:rFonts w:ascii="Arial" w:hAnsi="Arial" w:eastAsia="Times New Roman" w:cs="Arial"/>
      <w:sz w:val="22"/>
      <w:szCs w:val="22"/>
      <w:lang w:val="ru-RU" w:eastAsia="ru-RU" w:bidi="ar-SA"/>
    </w:rPr>
  </w:style>
  <w:style w:type="character" w:customStyle="1" w:styleId="34">
    <w:name w:val="ConsPlusNormal Знак"/>
    <w:link w:val="33"/>
    <w:qFormat/>
    <w:locked/>
    <w:uiPriority w:val="0"/>
    <w:rPr>
      <w:rFonts w:ascii="Arial" w:hAnsi="Arial" w:cs="Arial"/>
      <w:sz w:val="22"/>
      <w:szCs w:val="22"/>
    </w:rPr>
  </w:style>
  <w:style w:type="character" w:customStyle="1" w:styleId="35">
    <w:name w:val="Абзац списка Знак"/>
    <w:link w:val="17"/>
    <w:qFormat/>
    <w:uiPriority w:val="34"/>
    <w:rPr>
      <w:lang w:eastAsia="ar-SA"/>
    </w:rPr>
  </w:style>
  <w:style w:type="paragraph" w:customStyle="1" w:styleId="36">
    <w:name w:val="Знак Знак1"/>
    <w:basedOn w:val="1"/>
    <w:qFormat/>
    <w:uiPriority w:val="0"/>
    <w:pPr>
      <w:suppressAutoHyphens w:val="0"/>
      <w:spacing w:before="100" w:beforeAutospacing="1" w:after="100" w:afterAutospacing="1"/>
    </w:pPr>
    <w:rPr>
      <w:rFonts w:ascii="Tahoma" w:hAnsi="Tahoma"/>
      <w:sz w:val="20"/>
      <w:szCs w:val="20"/>
      <w:lang w:val="en-US" w:eastAsia="en-US"/>
    </w:rPr>
  </w:style>
  <w:style w:type="character" w:customStyle="1" w:styleId="37">
    <w:name w:val="Без интервала Знак"/>
    <w:link w:val="38"/>
    <w:qFormat/>
    <w:locked/>
    <w:uiPriority w:val="99"/>
    <w:rPr>
      <w:rFonts w:cs="Calibri"/>
    </w:rPr>
  </w:style>
  <w:style w:type="paragraph" w:styleId="38">
    <w:name w:val="No Spacing"/>
    <w:link w:val="37"/>
    <w:qFormat/>
    <w:uiPriority w:val="99"/>
    <w:rPr>
      <w:rFonts w:ascii="Times New Roman" w:hAnsi="Times New Roman" w:eastAsia="Times New Roman" w:cs="Calibri"/>
      <w:lang w:val="ru-RU" w:eastAsia="ru-RU" w:bidi="ar-SA"/>
    </w:rPr>
  </w:style>
  <w:style w:type="character" w:customStyle="1" w:styleId="39">
    <w:name w:val="Обычный (веб) Знак"/>
    <w:link w:val="11"/>
    <w:qFormat/>
    <w:locked/>
    <w:uiPriority w:val="99"/>
    <w:rPr>
      <w:rFonts w:eastAsia="Calibri"/>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ТФОМС</Company>
  <Pages>9</Pages>
  <Words>3470</Words>
  <Characters>19781</Characters>
  <Lines>164</Lines>
  <Paragraphs>46</Paragraphs>
  <TotalTime>8</TotalTime>
  <ScaleCrop>false</ScaleCrop>
  <LinksUpToDate>false</LinksUpToDate>
  <CharactersWithSpaces>23205</CharactersWithSpaces>
  <Application>WPS Office_12.2.0.17562_F1E327BC-269C-435d-A152-05C5408002CA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2024-04-25T10:47:00Z</dcterms:created>
  <dc:creator>vir</dc:creator>
  <cp:lastModifiedBy>llya karyagin</cp:lastModifiedBy>
  <cp:lastPrinted>2024-06-03T06:35:00Z</cp:lastPrinted>
  <dcterms:modified xsi:type="dcterms:W3CDTF">2024-08-26T11:59:08Z</dcterms:modified>
  <dc:title>Проект государственного контракта</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34C9F82BC2A4470D8E4E80C927BF5939_12</vt:lpwstr>
  </property>
</Properties>
</file>