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30"/>
        <w:ind w:hanging="0"/>
        <w:rPr>
          <w:rStyle w:val="11"/>
          <w:rFonts w:ascii="Times New Roman" w:hAnsi="Times New Roman" w:cs="Times New Roman"/>
          <w:bCs/>
          <w:sz w:val="24"/>
          <w:szCs w:val="24"/>
        </w:rPr>
      </w:pPr>
      <w:r>
        <w:rPr>
          <w:rStyle w:val="11"/>
          <w:rFonts w:cs="Times New Roman"/>
          <w:b/>
          <w:bCs/>
          <w:sz w:val="24"/>
          <w:szCs w:val="24"/>
        </w:rPr>
        <w:t>КОНТРАКТ №____</w:t>
      </w:r>
    </w:p>
    <w:p>
      <w:pPr>
        <w:pStyle w:val="Style30"/>
        <w:ind w:hanging="0"/>
        <w:rPr>
          <w:b w:val="false"/>
          <w:b w:val="false"/>
          <w:i/>
          <w:i/>
          <w:szCs w:val="24"/>
          <w:highlight w:val="cyan"/>
        </w:rPr>
      </w:pPr>
      <w:r>
        <w:rPr>
          <w:b w:val="false"/>
          <w:szCs w:val="24"/>
        </w:rPr>
        <w:t>на Оказание образовательных услуг по программе: «Организация антитеррористической защищенности медицинских учреждений» для нужд СПб ГБУЗ «Городская поликлиника № 106» в 2024 году</w:t>
      </w:r>
    </w:p>
    <w:p>
      <w:pPr>
        <w:pStyle w:val="Style30"/>
        <w:ind w:hanging="0"/>
        <w:rPr>
          <w:b w:val="false"/>
          <w:b w:val="false"/>
          <w:i/>
          <w:i/>
          <w:szCs w:val="24"/>
          <w:highlight w:val="cyan"/>
        </w:rPr>
      </w:pPr>
      <w:r>
        <w:rPr>
          <w:b w:val="false"/>
          <w:i/>
          <w:szCs w:val="24"/>
          <w:highlight w:val="cyan"/>
        </w:rPr>
      </w:r>
    </w:p>
    <w:p>
      <w:pPr>
        <w:pStyle w:val="Normal"/>
        <w:jc w:val="center"/>
        <w:rPr>
          <w:i/>
          <w:i/>
        </w:rPr>
      </w:pPr>
      <w:r>
        <w:rPr>
          <w:i/>
        </w:rPr>
        <w:t xml:space="preserve">Санкт - Петербург </w:t>
        <w:tab/>
        <w:t xml:space="preserve">                                                                                               </w:t>
      </w:r>
      <w:r>
        <w:rPr/>
        <w:t>_____________</w:t>
      </w:r>
    </w:p>
    <w:p>
      <w:pPr>
        <w:pStyle w:val="Normal"/>
        <w:ind w:firstLine="567"/>
        <w:rPr>
          <w:i/>
          <w:i/>
        </w:rPr>
      </w:pPr>
      <w:r>
        <w:rPr>
          <w:i/>
        </w:rPr>
      </w:r>
    </w:p>
    <w:p>
      <w:pPr>
        <w:pStyle w:val="Normal"/>
        <w:ind w:firstLine="540"/>
        <w:jc w:val="both"/>
        <w:rPr/>
      </w:pPr>
      <w:r>
        <w:rPr/>
        <w:t>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Кунина Вадима Григорьевича, действующего на основании Устава, с одной стороны, и ______</w:t>
      </w:r>
      <w:r>
        <w:rPr>
          <w:b/>
          <w:bCs/>
          <w:sz w:val="22"/>
          <w:szCs w:val="22"/>
        </w:rPr>
        <w:t>____________</w:t>
      </w:r>
      <w:r>
        <w:rPr/>
        <w:t>,</w:t>
      </w:r>
      <w:r>
        <w:rPr>
          <w:b/>
        </w:rPr>
        <w:t xml:space="preserve"> </w:t>
      </w:r>
      <w:r>
        <w:rPr/>
        <w:t>именуемое в дальнейшем «Исполнитель», в лице ________</w:t>
      </w:r>
      <w:r>
        <w:rPr>
          <w:bCs/>
        </w:rPr>
        <w:t xml:space="preserve">, действующего на основании ___________,  </w:t>
      </w:r>
      <w:r>
        <w:rPr/>
        <w:t xml:space="preserve">именуемое в дальнейшем Исполнитель,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t xml:space="preserve"> (далее – Закон № 44-ФЗ) заключили настоящий контракт (далее – Контракт) о нижеследующем:</w:t>
      </w:r>
    </w:p>
    <w:p>
      <w:pPr>
        <w:pStyle w:val="Style30"/>
        <w:ind w:firstLine="567"/>
        <w:jc w:val="both"/>
        <w:rPr>
          <w:szCs w:val="24"/>
        </w:rPr>
      </w:pPr>
      <w:r>
        <w:rPr>
          <w:szCs w:val="24"/>
        </w:rPr>
      </w:r>
    </w:p>
    <w:p>
      <w:pPr>
        <w:pStyle w:val="Normal"/>
        <w:ind w:firstLine="567"/>
        <w:jc w:val="center"/>
        <w:rPr>
          <w:b/>
          <w:b/>
        </w:rPr>
      </w:pPr>
      <w:r>
        <w:rPr>
          <w:b/>
        </w:rPr>
        <w:t>1. ПРЕДМЕТ КОНТРАКТА</w:t>
      </w:r>
    </w:p>
    <w:p>
      <w:pPr>
        <w:pStyle w:val="Normal"/>
        <w:ind w:firstLine="567"/>
        <w:jc w:val="center"/>
        <w:rPr>
          <w:b/>
          <w:b/>
        </w:rPr>
      </w:pPr>
      <w:r>
        <w:rPr>
          <w:b/>
        </w:rPr>
      </w:r>
    </w:p>
    <w:p>
      <w:pPr>
        <w:pStyle w:val="ConsNormal1"/>
        <w:ind w:right="0" w:firstLine="567"/>
        <w:jc w:val="both"/>
        <w:rPr>
          <w:rFonts w:ascii="Times New Roman" w:hAnsi="Times New Roman" w:cs="Times New Roman"/>
          <w:sz w:val="24"/>
          <w:szCs w:val="24"/>
        </w:rPr>
      </w:pPr>
      <w:r>
        <w:rPr>
          <w:rFonts w:cs="Times New Roman" w:ascii="Times New Roman" w:hAnsi="Times New Roman"/>
          <w:sz w:val="24"/>
          <w:szCs w:val="24"/>
        </w:rPr>
        <w:t xml:space="preserve">1.1. Предметом Контракта является </w:t>
      </w:r>
      <w:r>
        <w:rPr>
          <w:rFonts w:cs="Times New Roman" w:ascii="Times New Roman" w:hAnsi="Times New Roman"/>
          <w:b/>
          <w:sz w:val="24"/>
          <w:szCs w:val="24"/>
        </w:rPr>
        <w:t>образовательных услуг по программе: «Организация антитеррористической защи</w:t>
      </w:r>
      <w:r>
        <w:rPr>
          <w:rFonts w:cs="Times New Roman" w:ascii="Times New Roman" w:hAnsi="Times New Roman"/>
          <w:b/>
          <w:sz w:val="24"/>
          <w:szCs w:val="24"/>
        </w:rPr>
        <w:t>щенн</w:t>
      </w:r>
      <w:r>
        <w:rPr>
          <w:rFonts w:cs="Times New Roman" w:ascii="Times New Roman" w:hAnsi="Times New Roman"/>
          <w:b/>
          <w:sz w:val="24"/>
          <w:szCs w:val="24"/>
        </w:rPr>
        <w:t>ости медицинских учреждений» для нужд СПб ГБУЗ «Городская поликлиника № 106» в 2024 году</w:t>
      </w:r>
      <w:r>
        <w:rPr>
          <w:rFonts w:cs="Times New Roman" w:ascii="Times New Roman" w:hAnsi="Times New Roman"/>
          <w:sz w:val="24"/>
          <w:szCs w:val="24"/>
        </w:rPr>
        <w:t xml:space="preserve"> (далее – Услуги).</w:t>
      </w:r>
    </w:p>
    <w:p>
      <w:pPr>
        <w:pStyle w:val="ConsNormal1"/>
        <w:ind w:right="0" w:firstLine="567"/>
        <w:jc w:val="both"/>
        <w:rPr>
          <w:rFonts w:ascii="Times New Roman" w:hAnsi="Times New Roman" w:cs="Times New Roman"/>
          <w:sz w:val="24"/>
          <w:szCs w:val="24"/>
        </w:rPr>
      </w:pPr>
      <w:r>
        <w:rPr>
          <w:rFonts w:ascii="Times New Roman" w:hAnsi="Times New Roman"/>
          <w:sz w:val="24"/>
          <w:szCs w:val="24"/>
        </w:rPr>
        <w:t xml:space="preserve">1.2. </w:t>
      </w:r>
      <w:r>
        <w:rPr>
          <w:rFonts w:eastAsia="Calibri" w:ascii="Times New Roman" w:hAnsi="Times New Roman"/>
          <w:sz w:val="24"/>
          <w:szCs w:val="24"/>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w:t>
      </w:r>
      <w:r>
        <w:rPr>
          <w:rFonts w:cs="Times New Roman" w:ascii="Times New Roman" w:hAnsi="Times New Roman"/>
          <w:sz w:val="24"/>
          <w:szCs w:val="24"/>
        </w:rPr>
        <w:t>.</w:t>
      </w:r>
    </w:p>
    <w:p>
      <w:pPr>
        <w:pStyle w:val="Normal"/>
        <w:ind w:firstLine="567"/>
        <w:rPr>
          <w:i/>
          <w:i/>
          <w:highlight w:val="cyan"/>
        </w:rPr>
      </w:pPr>
      <w:r>
        <w:rPr>
          <w:color w:val="000000"/>
        </w:rPr>
        <w:t xml:space="preserve">1.3. Идентификационный код закупки (ИКЗ) </w:t>
      </w:r>
    </w:p>
    <w:p>
      <w:pPr>
        <w:pStyle w:val="Normal"/>
        <w:ind w:firstLine="567"/>
        <w:rPr>
          <w:i/>
          <w:i/>
          <w:highlight w:val="cyan"/>
        </w:rPr>
      </w:pPr>
      <w:r>
        <w:rPr>
          <w:color w:val="000000"/>
        </w:rPr>
        <w:t>242780701278378070100100110000000244.</w:t>
      </w:r>
    </w:p>
    <w:p>
      <w:pPr>
        <w:pStyle w:val="Normal"/>
        <w:ind w:firstLine="567"/>
        <w:rPr>
          <w:b/>
          <w:b/>
          <w:i/>
          <w:i/>
        </w:rPr>
      </w:pPr>
      <w:r>
        <w:rPr>
          <w:b/>
          <w:i/>
        </w:rPr>
      </w:r>
    </w:p>
    <w:p>
      <w:pPr>
        <w:pStyle w:val="Style29"/>
        <w:spacing w:before="0" w:after="0"/>
        <w:ind w:left="0" w:firstLine="567"/>
        <w:jc w:val="center"/>
        <w:rPr>
          <w:rFonts w:ascii="Times New Roman" w:hAnsi="Times New Roman"/>
          <w:b/>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pPr>
        <w:pStyle w:val="Style29"/>
        <w:spacing w:before="0" w:after="0"/>
        <w:ind w:left="0" w:firstLine="567"/>
        <w:jc w:val="center"/>
        <w:rPr>
          <w:rFonts w:ascii="Times New Roman" w:hAnsi="Times New Roman"/>
          <w:b/>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Normal"/>
        <w:ind w:firstLine="567"/>
        <w:jc w:val="both"/>
        <w:rPr>
          <w:bCs/>
        </w:rPr>
      </w:pPr>
      <w:r>
        <w:rPr/>
        <w:t>2.1. Настоящий Контракт вступает в силу со дня его заключения и действует по «31» декабря 2024 года.</w:t>
      </w:r>
    </w:p>
    <w:p>
      <w:pPr>
        <w:pStyle w:val="ConsPlusNormal1"/>
        <w:ind w:firstLine="567"/>
        <w:jc w:val="both"/>
        <w:rPr>
          <w:rFonts w:ascii="Times New Roman" w:hAnsi="Times New Roman" w:cs="Times New Roman"/>
          <w:sz w:val="24"/>
          <w:szCs w:val="24"/>
        </w:rPr>
      </w:pPr>
      <w:r>
        <w:rPr>
          <w:rFonts w:cs="Times New Roman" w:ascii="Times New Roman" w:hAnsi="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pPr>
        <w:pStyle w:val="ListNumber2"/>
        <w:tabs>
          <w:tab w:val="clear" w:pos="-720"/>
          <w:tab w:val="left" w:pos="1080" w:leader="none"/>
        </w:tabs>
        <w:ind w:left="0" w:firstLine="567"/>
        <w:jc w:val="both"/>
        <w:rPr>
          <w:rFonts w:ascii="Times New Roman" w:hAnsi="Times New Roman" w:cs="Times New Roman"/>
          <w:sz w:val="24"/>
          <w:szCs w:val="24"/>
        </w:rPr>
      </w:pPr>
      <w:r>
        <w:rPr>
          <w:rFonts w:cs="Times New Roman" w:ascii="Times New Roman" w:hAnsi="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cs="Times New Roman" w:ascii="Times New Roman" w:hAnsi="Times New Roman"/>
          <w:spacing w:val="1"/>
          <w:sz w:val="24"/>
          <w:szCs w:val="24"/>
        </w:rPr>
        <w:t>Заказчик</w:t>
      </w:r>
      <w:r>
        <w:rPr>
          <w:rFonts w:cs="Times New Roman" w:ascii="Times New Roman" w:hAnsi="Times New Roman"/>
          <w:sz w:val="24"/>
          <w:szCs w:val="24"/>
        </w:rPr>
        <w:t xml:space="preserve"> обязуется оплатить оказанные Услуги.</w:t>
      </w:r>
    </w:p>
    <w:p>
      <w:pPr>
        <w:pStyle w:val="Normal"/>
        <w:ind w:firstLine="567"/>
        <w:jc w:val="both"/>
        <w:rPr>
          <w:sz w:val="20"/>
          <w:szCs w:val="20"/>
        </w:rPr>
      </w:pPr>
      <w:r>
        <w:rPr/>
        <w:t>2.5. Местом оказания Услуг являются: по месту нахождения исполнителя, территориально г. Санкт-Петербург</w:t>
      </w:r>
    </w:p>
    <w:p>
      <w:pPr>
        <w:pStyle w:val="Style28"/>
        <w:ind w:firstLine="567"/>
        <w:jc w:val="both"/>
        <w:rPr>
          <w:sz w:val="24"/>
          <w:szCs w:val="24"/>
        </w:rPr>
      </w:pPr>
      <w:r>
        <w:rPr>
          <w:sz w:val="24"/>
          <w:szCs w:val="24"/>
        </w:rPr>
        <w:t>2.6. Условия Контракта являются обязательными для исполнения Сторонами.</w:t>
      </w:r>
    </w:p>
    <w:p>
      <w:pPr>
        <w:pStyle w:val="Style28"/>
        <w:ind w:firstLine="567"/>
        <w:jc w:val="both"/>
        <w:rPr>
          <w:sz w:val="24"/>
          <w:szCs w:val="24"/>
        </w:rPr>
      </w:pPr>
      <w:r>
        <w:rPr>
          <w:sz w:val="24"/>
          <w:szCs w:val="24"/>
        </w:rPr>
        <w:t>2.7. Сроки (периоды) оказания Услуг: с 07 ноября 2024 по 13 ноября 2024 года.</w:t>
      </w:r>
    </w:p>
    <w:p>
      <w:pPr>
        <w:pStyle w:val="Style28"/>
        <w:ind w:firstLine="567"/>
        <w:jc w:val="both"/>
        <w:rPr>
          <w:sz w:val="24"/>
          <w:szCs w:val="24"/>
        </w:rPr>
      </w:pPr>
      <w:r>
        <w:rPr>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3. ЦЕНА КОНТРАКТА И ПОРЯДОК РАСЧЕТОВ</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4"/>
        <w:spacing w:before="0" w:after="0"/>
        <w:ind w:firstLine="567"/>
        <w:jc w:val="both"/>
        <w:rPr/>
      </w:pPr>
      <w:r>
        <w:rPr/>
        <w:t>3.1. Цена по настоящему Контракту составляет _________________________</w:t>
      </w:r>
    </w:p>
    <w:p>
      <w:pPr>
        <w:pStyle w:val="Style24"/>
        <w:spacing w:before="0" w:after="0"/>
        <w:ind w:firstLine="567"/>
        <w:jc w:val="both"/>
        <w:rPr/>
      </w:pPr>
      <w:r>
        <w:rPr/>
        <w:t>Цена Контракта включает в себя все расходы</w:t>
      </w:r>
      <w:r>
        <w:rPr>
          <w:rFonts w:eastAsia="Calibri"/>
          <w:lang w:eastAsia="en-US"/>
        </w:rPr>
        <w:t xml:space="preserve">, в том числе </w:t>
      </w:r>
      <w:r>
        <w:rPr>
          <w:bCs/>
        </w:rPr>
        <w:t xml:space="preserve">заработную плату персонала, материалы, </w:t>
      </w:r>
      <w:r>
        <w:rPr/>
        <w:t xml:space="preserve">транспортные расходы, </w:t>
      </w:r>
      <w:r>
        <w:rPr>
          <w:bCs/>
        </w:rPr>
        <w:t>страхование, таможенные пошлины, налоги и другие обязательные платежи,</w:t>
      </w:r>
      <w:r>
        <w:rPr/>
        <w:t xml:space="preserve"> а также прочие расходы, связанные с исполнением Контракта.</w:t>
      </w:r>
    </w:p>
    <w:p>
      <w:pPr>
        <w:pStyle w:val="Normal"/>
        <w:ind w:firstLine="567"/>
        <w:jc w:val="both"/>
        <w:rPr>
          <w:rFonts w:eastAsia="Calibri"/>
        </w:rPr>
      </w:pPr>
      <w:r>
        <w:rP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Pr/>
        <w:t>за исключением случаев, предусмотренных действующим законодательством и настоящим Контрактом.</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pPr>
        <w:pStyle w:val="Normal"/>
        <w:ind w:firstLine="567"/>
        <w:jc w:val="both"/>
        <w:rPr>
          <w:i/>
          <w:i/>
        </w:rPr>
      </w:pPr>
      <w:r>
        <w:rPr>
          <w:iCs/>
        </w:rPr>
        <w:t xml:space="preserve">3.3. </w:t>
      </w:r>
      <w:r>
        <w:rPr/>
        <w:t>Источник финансирования Контракта: Внебюджетные средства. Средства бюджетных учреждений (средства обязательного медицинского страхования поступающие бюджетным учреждениям), код вида расходов 244, код КОСГУ 226.</w:t>
      </w:r>
    </w:p>
    <w:p>
      <w:pPr>
        <w:pStyle w:val="Normal"/>
        <w:ind w:firstLine="567"/>
        <w:jc w:val="both"/>
        <w:rPr/>
      </w:pPr>
      <w:r>
        <w:rPr>
          <w:iCs/>
        </w:rPr>
        <w:t xml:space="preserve">3.4. Сроки и порядок оплаты оказанных Услуг: Оплата </w:t>
      </w:r>
      <w:r>
        <w:rPr/>
        <w:t xml:space="preserve">за оказанные Услуги производится Заказчиком ежемесячно в безналичной форме путем перечисления денежных средств на расчетный счет Исполнителя, указанный в Контракте, в течение 10 рабочих дней с даты подписания Заказчиком </w:t>
      </w:r>
      <w:r>
        <w:rPr>
          <w:rFonts w:eastAsia="Calibri"/>
        </w:rPr>
        <w:t xml:space="preserve">документа о приемке </w:t>
      </w:r>
      <w:r>
        <w:rPr>
          <w:color w:val="000000"/>
        </w:rPr>
        <w:t xml:space="preserve">в единой информационной системе в сфере закупок </w:t>
      </w:r>
      <w:r>
        <w:rPr/>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pPr>
        <w:pStyle w:val="Normal"/>
        <w:ind w:firstLine="567"/>
        <w:jc w:val="both"/>
        <w:rPr>
          <w:iCs/>
        </w:rPr>
      </w:pPr>
      <w:r>
        <w:rPr/>
        <w:t xml:space="preserve">3.6. </w:t>
      </w:r>
      <w:r>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pPr>
        <w:pStyle w:val="Normal"/>
        <w:widowControl w:val="false"/>
        <w:ind w:firstLine="567"/>
        <w:jc w:val="both"/>
        <w:rPr/>
      </w:pPr>
      <w:r>
        <w:rPr>
          <w:iCs/>
        </w:rPr>
        <w:t xml:space="preserve">3.7. </w:t>
      </w:r>
      <w:r>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pPr>
        <w:pStyle w:val="Normal"/>
        <w:ind w:firstLine="540"/>
        <w:jc w:val="both"/>
        <w:rPr>
          <w:rFonts w:eastAsia="Calibri"/>
          <w:lang w:eastAsia="en-US"/>
        </w:rPr>
      </w:pPr>
      <w:r>
        <w:rPr/>
        <w:t>3.8.</w:t>
      </w:r>
      <w:r>
        <w:rPr>
          <w:rFonts w:eastAsia="Calibri"/>
          <w:lang w:eastAsia="en-US"/>
        </w:rPr>
        <w:t xml:space="preserve"> Сумма, подлежащая уплате Заказчиком Исполнителю </w:t>
      </w:r>
      <w:r>
        <w:rP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andard"/>
        <w:ind w:firstLine="567"/>
        <w:jc w:val="both"/>
        <w:rPr>
          <w:rFonts w:ascii="Times New Roman" w:hAnsi="Times New Roman" w:eastAsia="Times New Roman" w:cs="Times New Roman"/>
          <w:lang w:val="ru-RU"/>
        </w:rPr>
      </w:pPr>
      <w:r>
        <w:rPr>
          <w:rFonts w:ascii="Times New Roman" w:hAnsi="Times New Roman"/>
          <w:lang w:val="ru-RU"/>
        </w:rPr>
        <w:t>3.9.</w:t>
      </w:r>
      <w:r>
        <w:rPr>
          <w:rFonts w:cs="Times New Roman" w:ascii="Times New Roman" w:hAnsi="Times New Roman"/>
          <w:lang w:val="ru-RU"/>
        </w:rPr>
        <w:t xml:space="preserve"> В</w:t>
      </w:r>
      <w:r>
        <w:rPr>
          <w:rFonts w:eastAsia="Times New Roman" w:cs="Times New Roman" w:ascii="Times New Roman" w:hAnsi="Times New Roman"/>
          <w:color w:val="auto"/>
          <w:lang w:val="ru-RU"/>
        </w:rPr>
        <w:t xml:space="preserve"> соответствии с пунктом 5 статьи 78.1. Бюджетного кодекса </w:t>
      </w:r>
      <w:r>
        <w:rPr>
          <w:rFonts w:cs="Times New Roman" w:ascii="Times New Roman" w:hAnsi="Times New Roman"/>
          <w:lang w:val="ru-RU"/>
        </w:rPr>
        <w:t>Российской Федерации</w:t>
      </w:r>
      <w:r>
        <w:rPr>
          <w:rFonts w:eastAsia="Times New Roman" w:cs="Times New Roman" w:ascii="Times New Roman" w:hAnsi="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Pr>
          <w:rFonts w:cs="Times New Roman" w:ascii="Times New Roman" w:hAnsi="Times New Roman"/>
          <w:lang w:val="ru-RU"/>
        </w:rPr>
        <w:t>Российской Федерации</w:t>
      </w:r>
      <w:r>
        <w:rPr>
          <w:rFonts w:eastAsia="Times New Roman" w:cs="Times New Roman" w:ascii="Times New Roman" w:hAnsi="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eastAsia="Times New Roman" w:cs="Times New Roman" w:ascii="Times New Roman" w:hAnsi="Times New Roman"/>
          <w:lang w:val="ru-RU"/>
        </w:rPr>
        <w:t xml:space="preserve"> </w:t>
      </w:r>
    </w:p>
    <w:p>
      <w:pPr>
        <w:pStyle w:val="Standard"/>
        <w:ind w:firstLine="567"/>
        <w:jc w:val="both"/>
        <w:rPr>
          <w:rFonts w:ascii="Times New Roman" w:hAnsi="Times New Roman" w:eastAsia="Times New Roman" w:cs="Times New Roman"/>
          <w:i/>
          <w:i/>
          <w:lang w:val="ru-RU"/>
        </w:rPr>
      </w:pPr>
      <w:r>
        <w:rPr>
          <w:rFonts w:eastAsia="Times New Roman" w:cs="Times New Roman" w:ascii="Times New Roman" w:hAnsi="Times New Roman"/>
          <w:i/>
          <w:lang w:val="ru-RU"/>
        </w:rPr>
      </w:r>
    </w:p>
    <w:p>
      <w:pPr>
        <w:pStyle w:val="Normal"/>
        <w:ind w:firstLine="567"/>
        <w:jc w:val="center"/>
        <w:rPr>
          <w:b/>
          <w:b/>
        </w:rPr>
      </w:pPr>
      <w:r>
        <w:rPr>
          <w:b/>
        </w:rPr>
        <w:t>4. ПРАВА И ОБЯЗАННОСТИ СТОРОН</w:t>
      </w:r>
    </w:p>
    <w:p>
      <w:pPr>
        <w:pStyle w:val="Normal"/>
        <w:ind w:firstLine="567"/>
        <w:jc w:val="center"/>
        <w:rPr>
          <w:b/>
          <w:b/>
        </w:rPr>
      </w:pPr>
      <w:r>
        <w:rPr>
          <w:b/>
        </w:rPr>
      </w:r>
    </w:p>
    <w:p>
      <w:pPr>
        <w:pStyle w:val="Normal"/>
        <w:ind w:firstLine="567"/>
        <w:jc w:val="both"/>
        <w:rPr>
          <w:b/>
          <w:b/>
        </w:rPr>
      </w:pPr>
      <w:r>
        <w:rPr>
          <w:b/>
        </w:rPr>
        <w:t>4.1. Заказчик обязан:</w:t>
      </w:r>
    </w:p>
    <w:p>
      <w:pPr>
        <w:pStyle w:val="Normal"/>
        <w:ind w:firstLine="567"/>
        <w:jc w:val="both"/>
        <w:rPr/>
      </w:pPr>
      <w:r>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pPr>
        <w:pStyle w:val="Normal"/>
        <w:ind w:firstLine="567"/>
        <w:jc w:val="both"/>
        <w:rPr/>
      </w:pPr>
      <w:r>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pPr>
        <w:pStyle w:val="Normal"/>
        <w:ind w:firstLine="567"/>
        <w:jc w:val="both"/>
        <w:rPr/>
      </w:pPr>
      <w:r>
        <w:rPr/>
        <w:t xml:space="preserve">4.1.3. </w:t>
      </w:r>
      <w:r>
        <w:rPr>
          <w:rFonts w:eastAsia="Calibri"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pPr>
        <w:pStyle w:val="Normal"/>
        <w:ind w:firstLine="567"/>
        <w:jc w:val="both"/>
        <w:rPr/>
      </w:pPr>
      <w:r>
        <w:rPr/>
        <w:t>4.1.4. Осуществлять оплату оказанных Исполнителем Услуг в порядке и сроки, определенные настоящим Контрактом.</w:t>
      </w:r>
    </w:p>
    <w:p>
      <w:pPr>
        <w:pStyle w:val="Normal"/>
        <w:ind w:firstLine="567"/>
        <w:jc w:val="both"/>
        <w:rPr>
          <w:bCs/>
          <w:spacing w:val="4"/>
        </w:rPr>
      </w:pPr>
      <w:r>
        <w:rP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pPr>
        <w:pStyle w:val="Normal"/>
        <w:ind w:firstLine="567"/>
        <w:jc w:val="both"/>
        <w:rPr>
          <w:b/>
          <w:b/>
        </w:rPr>
      </w:pPr>
      <w:r>
        <w:rPr>
          <w:b/>
        </w:rPr>
        <w:t>4.2. Исполнитель обязан:</w:t>
      </w:r>
    </w:p>
    <w:p>
      <w:pPr>
        <w:pStyle w:val="Normal"/>
        <w:ind w:firstLine="567"/>
        <w:jc w:val="both"/>
        <w:rPr/>
      </w:pPr>
      <w:r>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pPr>
        <w:pStyle w:val="Normal"/>
        <w:ind w:firstLine="567"/>
        <w:jc w:val="both"/>
        <w:rPr/>
      </w:pPr>
      <w:r>
        <w:rPr/>
        <w:t xml:space="preserve">4.2.2. </w:t>
      </w:r>
      <w:r>
        <w:rPr>
          <w:i/>
        </w:rPr>
        <w:t>Оказывать услуги надлежащего качества на основании действующей лицензии на «Осуществление образовательной деятельности по реализации образовательных программ по видам образования, уровня образования, по профессиям, специальностям, направлениям подготовки (для профессионального образования), по подвидам дополнительного образования: профессиональное обучение; дополнительное образование</w:t>
      </w:r>
      <w:r>
        <w:rPr/>
        <w:t>.</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4.2.3.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4.2.4.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4.2.5.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4.2.6.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4.2.7.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 xml:space="preserve">4.2.8. До формирования документа о приемке в Единой информационной системе предоставить Заказчику следующие отчетные документы Акт оказанных услуг. </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4.2.9. Выполнить иные обязанности, предусмотренные действующим законодательством и настоящим Контрактом.</w:t>
      </w:r>
    </w:p>
    <w:p>
      <w:pPr>
        <w:pStyle w:val="Style29"/>
        <w:spacing w:before="0" w:after="0"/>
        <w:ind w:left="0" w:firstLine="567"/>
        <w:jc w:val="both"/>
        <w:rPr>
          <w:rFonts w:ascii="Times New Roman" w:hAnsi="Times New Roman"/>
          <w:b/>
          <w:b/>
          <w:sz w:val="24"/>
          <w:szCs w:val="24"/>
        </w:rPr>
      </w:pPr>
      <w:r>
        <w:rPr>
          <w:rFonts w:ascii="Times New Roman" w:hAnsi="Times New Roman"/>
          <w:b/>
          <w:sz w:val="24"/>
          <w:szCs w:val="24"/>
        </w:rPr>
        <w:t>4.3. Заказчик имеет право:</w:t>
      </w:r>
    </w:p>
    <w:p>
      <w:pPr>
        <w:pStyle w:val="Normal"/>
        <w:ind w:firstLine="567"/>
        <w:jc w:val="both"/>
        <w:rPr/>
      </w:pPr>
      <w:r>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pPr>
        <w:pStyle w:val="Normal"/>
        <w:ind w:firstLine="567"/>
        <w:jc w:val="both"/>
        <w:rPr/>
      </w:pPr>
      <w:r>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pPr>
        <w:pStyle w:val="Normal"/>
        <w:ind w:firstLine="567"/>
        <w:jc w:val="both"/>
        <w:rPr/>
      </w:pPr>
      <w:r>
        <w:rPr/>
        <w:t>4.3.3. Запрашивать у Исполнителя информацию о ходе и состоянии исполнения обязательств Исполнителем по настоящему Контракту.</w:t>
      </w:r>
    </w:p>
    <w:p>
      <w:pPr>
        <w:pStyle w:val="Normal"/>
        <w:ind w:firstLine="567"/>
        <w:jc w:val="both"/>
        <w:rPr/>
      </w:pPr>
      <w:r>
        <w:rPr/>
        <w:t>4.3.4. Осуществлять контроль за порядком и сроками оказания Услуг.</w:t>
      </w:r>
    </w:p>
    <w:p>
      <w:pPr>
        <w:pStyle w:val="Normal"/>
        <w:ind w:firstLine="567"/>
        <w:jc w:val="both"/>
        <w:rPr/>
      </w:pPr>
      <w:r>
        <w:rPr/>
        <w:t>4.3.5. Для проверки соответствия качества выполняемых Услуг привлекать независимых экспертов.</w:t>
      </w:r>
    </w:p>
    <w:p>
      <w:pPr>
        <w:pStyle w:val="Normal"/>
        <w:ind w:firstLine="567"/>
        <w:jc w:val="both"/>
        <w:rPr/>
      </w:pPr>
      <w:r>
        <w:rPr/>
        <w:t>4.3.6. Ссылаться на недостатки оказываемых Услуг, в том числе в части количества, и стоимости этих Услуг.</w:t>
      </w:r>
    </w:p>
    <w:p>
      <w:pPr>
        <w:pStyle w:val="Normal"/>
        <w:ind w:firstLine="567"/>
        <w:jc w:val="both"/>
        <w:rPr/>
      </w:pPr>
      <w:r>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pPr>
        <w:pStyle w:val="Normal"/>
        <w:ind w:firstLine="567"/>
        <w:jc w:val="both"/>
        <w:rPr/>
      </w:pPr>
      <w:r>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pPr>
        <w:pStyle w:val="Normal"/>
        <w:widowControl w:val="false"/>
        <w:ind w:firstLine="567"/>
        <w:jc w:val="both"/>
        <w:rPr>
          <w:color w:val="000000"/>
        </w:rPr>
      </w:pPr>
      <w:r>
        <w:rP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pPr>
        <w:pStyle w:val="Style29"/>
        <w:spacing w:before="0" w:after="0"/>
        <w:ind w:left="0" w:firstLine="567"/>
        <w:jc w:val="both"/>
        <w:rPr>
          <w:rFonts w:ascii="Times New Roman" w:hAnsi="Times New Roman"/>
          <w:b/>
          <w:b/>
          <w:sz w:val="24"/>
          <w:szCs w:val="24"/>
        </w:rPr>
      </w:pPr>
      <w:r>
        <w:rPr>
          <w:rFonts w:ascii="Times New Roman" w:hAnsi="Times New Roman"/>
          <w:b/>
          <w:sz w:val="24"/>
          <w:szCs w:val="24"/>
        </w:rPr>
        <w:t>4.4. Исполнитель имеет право:</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pPr>
        <w:pStyle w:val="Style29"/>
        <w:spacing w:before="0" w:after="0"/>
        <w:ind w:left="0" w:firstLine="567"/>
        <w:jc w:val="both"/>
        <w:rPr>
          <w:rFonts w:ascii="Times New Roman" w:hAnsi="Times New Roman"/>
          <w:i/>
          <w:i/>
          <w:sz w:val="24"/>
          <w:szCs w:val="24"/>
        </w:rPr>
      </w:pPr>
      <w:r>
        <w:rPr>
          <w:rFonts w:ascii="Times New Roman" w:hAnsi="Times New Roman"/>
          <w:i/>
          <w:sz w:val="24"/>
          <w:szCs w:val="24"/>
        </w:rPr>
      </w:r>
    </w:p>
    <w:p>
      <w:pPr>
        <w:pStyle w:val="Normal"/>
        <w:ind w:firstLine="567"/>
        <w:jc w:val="center"/>
        <w:rPr>
          <w:b/>
          <w:b/>
          <w:bCs/>
        </w:rPr>
      </w:pPr>
      <w:r>
        <w:rPr>
          <w:b/>
          <w:bCs/>
        </w:rPr>
        <w:t>5. ТРЕБОВАНИЯ К КОЛИЧЕСТВЕННЫМ ХАРАКТЕРИСТИКАМ</w:t>
      </w:r>
    </w:p>
    <w:p>
      <w:pPr>
        <w:pStyle w:val="Normal"/>
        <w:ind w:firstLine="567"/>
        <w:jc w:val="center"/>
        <w:rPr>
          <w:b/>
          <w:b/>
          <w:bCs/>
        </w:rPr>
      </w:pPr>
      <w:r>
        <w:rPr>
          <w:b/>
          <w:bCs/>
        </w:rPr>
        <w:t>(ОБЪЕМУ) УСЛУГ. ТРЕБОВАНИЯ К КАЧЕСТВУ И БЕЗОПАСНОСТИ УСЛУГ</w:t>
      </w:r>
    </w:p>
    <w:p>
      <w:pPr>
        <w:pStyle w:val="Normal"/>
        <w:ind w:firstLine="567"/>
        <w:jc w:val="center"/>
        <w:rPr>
          <w:b/>
          <w:b/>
          <w:bCs/>
        </w:rPr>
      </w:pPr>
      <w:r>
        <w:rPr>
          <w:b/>
          <w:bCs/>
        </w:rPr>
      </w:r>
    </w:p>
    <w:p>
      <w:pPr>
        <w:pStyle w:val="Normal"/>
        <w:ind w:firstLine="567"/>
        <w:jc w:val="both"/>
        <w:rPr>
          <w:sz w:val="20"/>
          <w:szCs w:val="20"/>
          <w:highlight w:val="yellow"/>
        </w:rPr>
      </w:pPr>
      <w:r>
        <w:rPr/>
        <w:t>5.1.</w:t>
      </w:r>
      <w:r>
        <w:rPr>
          <w:bCs/>
        </w:rPr>
        <w:t xml:space="preserve"> Наименование, характеристики и количество (</w:t>
      </w:r>
      <w:r>
        <w:rPr/>
        <w:t>объемы) Услуг, подлежащих оказанию по настоящему Контракту, указаны в Приложении № 2 к настоящему Контракту.</w:t>
      </w:r>
    </w:p>
    <w:p>
      <w:pPr>
        <w:pStyle w:val="Normal"/>
        <w:ind w:firstLine="567"/>
        <w:jc w:val="both"/>
        <w:rPr/>
      </w:pPr>
      <w:r>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pPr>
        <w:pStyle w:val="ConsNormal1"/>
        <w:tabs>
          <w:tab w:val="clear" w:pos="708"/>
          <w:tab w:val="left" w:pos="360" w:leader="none"/>
          <w:tab w:val="left" w:pos="7380" w:leader="none"/>
        </w:tabs>
        <w:ind w:right="0" w:firstLine="567"/>
        <w:jc w:val="both"/>
        <w:rPr/>
      </w:pPr>
      <w:r>
        <w:rPr>
          <w:rFonts w:cs="Times New Roman" w:ascii="Times New Roman" w:hAnsi="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а так же  </w:t>
      </w:r>
      <w:r>
        <w:rPr>
          <w:rFonts w:cs="Times New Roman" w:ascii="Times New Roman" w:hAnsi="Times New Roman"/>
          <w:sz w:val="24"/>
        </w:rPr>
        <w:t xml:space="preserve">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pPr>
        <w:pStyle w:val="ConsNormal1"/>
        <w:tabs>
          <w:tab w:val="clear" w:pos="708"/>
          <w:tab w:val="left" w:pos="567" w:leader="none"/>
          <w:tab w:val="left" w:pos="7380" w:leader="none"/>
        </w:tabs>
        <w:ind w:right="0" w:firstLine="284"/>
        <w:jc w:val="both"/>
        <w:rPr/>
      </w:pPr>
      <w:r>
        <w:rPr>
          <w:rFonts w:cs="Times New Roman" w:ascii="Times New Roman" w:hAnsi="Times New Roman"/>
          <w:sz w:val="24"/>
          <w:szCs w:val="24"/>
        </w:rPr>
        <w:tab/>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pPr>
        <w:pStyle w:val="Normal"/>
        <w:ind w:firstLine="567"/>
        <w:jc w:val="both"/>
        <w:rPr/>
      </w:pPr>
      <w:r>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pPr>
        <w:pStyle w:val="Normal"/>
        <w:ind w:firstLine="567"/>
        <w:jc w:val="both"/>
        <w:rPr/>
      </w:pPr>
      <w:r>
        <w:rPr/>
        <w:t>5.6. Оказывать услуги своим квалифицированным  персоналом,  своим инструментом и расходными материалами. Не допускать привлечения иностранных рабочих без соответствующей регистрации и наличия разрешения на работу.</w:t>
      </w:r>
    </w:p>
    <w:p>
      <w:pPr>
        <w:pStyle w:val="Normal"/>
        <w:ind w:firstLine="567"/>
        <w:jc w:val="both"/>
        <w:rPr>
          <w:b/>
          <w:b/>
        </w:rPr>
      </w:pPr>
      <w:r>
        <w:rPr>
          <w:b/>
        </w:rPr>
      </w:r>
    </w:p>
    <w:p>
      <w:pPr>
        <w:pStyle w:val="Normal"/>
        <w:ind w:firstLine="567"/>
        <w:jc w:val="center"/>
        <w:rPr>
          <w:b/>
          <w:b/>
        </w:rPr>
      </w:pPr>
      <w:r>
        <w:rPr>
          <w:b/>
        </w:rPr>
        <w:t>6. ТРЕБОВАНИЯ К ТЕХНИЧЕСКИМ ХАРАКТЕРИСТИКАМ УСЛУГ</w:t>
      </w:r>
    </w:p>
    <w:p>
      <w:pPr>
        <w:pStyle w:val="Normal"/>
        <w:ind w:firstLine="567"/>
        <w:jc w:val="center"/>
        <w:rPr>
          <w:b/>
          <w:b/>
        </w:rPr>
      </w:pPr>
      <w:r>
        <w:rPr>
          <w:b/>
        </w:rPr>
      </w:r>
    </w:p>
    <w:p>
      <w:pPr>
        <w:pStyle w:val="Normal"/>
        <w:ind w:firstLine="567"/>
        <w:jc w:val="both"/>
        <w:rPr>
          <w:bCs/>
        </w:rPr>
      </w:pPr>
      <w:r>
        <w:rP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pPr>
        <w:pStyle w:val="Normal"/>
        <w:ind w:firstLine="567"/>
        <w:jc w:val="both"/>
        <w:rPr/>
      </w:pPr>
      <w:r>
        <w:rPr>
          <w:bCs/>
        </w:rPr>
        <w:t>6.2. Услуги оказываются Исполнителем в соответствии с условиями Контракта ежедневно, в соответствии с графиком работы медицинского учреждения.</w:t>
      </w:r>
    </w:p>
    <w:p>
      <w:pPr>
        <w:pStyle w:val="Normal"/>
        <w:ind w:firstLine="567"/>
        <w:jc w:val="both"/>
        <w:rPr>
          <w:i/>
          <w:i/>
          <w:iCs/>
        </w:rPr>
      </w:pPr>
      <w:r>
        <w:rPr>
          <w:i/>
          <w:iCs/>
        </w:rPr>
      </w:r>
    </w:p>
    <w:p>
      <w:pPr>
        <w:pStyle w:val="Normal"/>
        <w:jc w:val="center"/>
        <w:rPr>
          <w:b/>
          <w:b/>
          <w:caps/>
        </w:rPr>
      </w:pPr>
      <w:r>
        <w:rPr>
          <w:b/>
        </w:rPr>
        <w:t xml:space="preserve">7. </w:t>
      </w:r>
      <w:r>
        <w:rPr>
          <w:b/>
          <w:bCs/>
        </w:rPr>
        <w:t xml:space="preserve">ТРЕБОВАНИЯ К РЕЗУЛЬТАТАМ УСЛУГ И ИНЫЕ ПОКАЗАТЕЛИ, СВЯЗАННЫЕ С ОПРЕДЕЛЕНИЕМ СООТВЕТСТВИЯ ВЫПОЛНЯЕМЫХ УСЛУГ ПОТРЕБНОСТЯМ ЗАКАЗЧИКА. </w:t>
      </w:r>
      <w:r>
        <w:rPr>
          <w:b/>
          <w:caps/>
        </w:rPr>
        <w:t>Порядок сдачи и приемки услуг</w:t>
      </w:r>
    </w:p>
    <w:p>
      <w:pPr>
        <w:pStyle w:val="Normal"/>
        <w:jc w:val="center"/>
        <w:rPr>
          <w:b/>
          <w:b/>
          <w:caps/>
        </w:rPr>
      </w:pPr>
      <w:r>
        <w:rPr>
          <w:b/>
          <w:caps/>
        </w:rPr>
      </w:r>
    </w:p>
    <w:p>
      <w:pPr>
        <w:pStyle w:val="Normal"/>
        <w:ind w:firstLine="567"/>
        <w:jc w:val="both"/>
        <w:rPr>
          <w:rFonts w:eastAsia="Calibri" w:eastAsiaTheme="minorHAnsi"/>
          <w:lang w:eastAsia="en-US"/>
        </w:rPr>
      </w:pPr>
      <w:r>
        <w:rPr/>
        <w:t xml:space="preserve">7.1. </w:t>
      </w:r>
      <w:r>
        <w:rPr>
          <w:color w:val="000000"/>
        </w:rPr>
        <w:t>Сдача и приемка оказанных услуг</w:t>
      </w:r>
      <w:r>
        <w:rPr>
          <w:rFonts w:eastAsia="Calibri"/>
          <w:color w:val="000000"/>
        </w:rPr>
        <w:t xml:space="preserve"> осуществляется на основании документа о приемке</w:t>
      </w:r>
      <w:r>
        <w:rPr>
          <w:rFonts w:eastAsia="Calibri" w:eastAsiaTheme="minorHAnsi"/>
          <w:lang w:eastAsia="en-US"/>
        </w:rPr>
        <w:t>.</w:t>
      </w:r>
    </w:p>
    <w:p>
      <w:pPr>
        <w:pStyle w:val="Normal"/>
        <w:jc w:val="both"/>
        <w:rPr/>
      </w:pPr>
      <w:r>
        <w:rPr/>
        <w:t>Датой поступления Заказчику документа о приемке считается дата подписания документов Заказчиком.</w:t>
      </w:r>
    </w:p>
    <w:p>
      <w:pPr>
        <w:pStyle w:val="Normal"/>
        <w:ind w:firstLine="567"/>
        <w:jc w:val="both"/>
        <w:rPr>
          <w:bCs/>
        </w:rPr>
      </w:pPr>
      <w:r>
        <w:rPr/>
        <w:t xml:space="preserve">7.2. </w:t>
      </w:r>
      <w:r>
        <w:rPr>
          <w:bCs/>
        </w:rPr>
        <w:t xml:space="preserve">Для проверки предоставленных Исполнителем </w:t>
      </w:r>
      <w:r>
        <w:rPr>
          <w:rFonts w:eastAsia="Calibri"/>
        </w:rPr>
        <w:t>результатов, предусмотренных Контрактом</w:t>
      </w:r>
      <w:r>
        <w:rPr>
          <w:bCs/>
        </w:rPr>
        <w:t xml:space="preserve">, в части их соответствия условиям контракта </w:t>
      </w:r>
      <w:r>
        <w:rPr/>
        <w:t>Заказчик проводит</w:t>
      </w:r>
      <w:r>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pPr>
        <w:pStyle w:val="Normal"/>
        <w:ind w:firstLine="540"/>
        <w:jc w:val="both"/>
        <w:rPr/>
      </w:pPr>
      <w:r>
        <w:rPr/>
        <w:t xml:space="preserve">7.3. В случае получения мотивированного отказа Заказчика от подписания документа о приемке Исполнитель вправе устранить выявленные нарушения в срок, устанавливаемый Заказчиком. </w:t>
      </w:r>
    </w:p>
    <w:p>
      <w:pPr>
        <w:pStyle w:val="Style24"/>
        <w:spacing w:before="0" w:after="0"/>
        <w:ind w:firstLine="567"/>
        <w:jc w:val="both"/>
        <w:rPr/>
      </w:pPr>
      <w:r>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pPr>
        <w:pStyle w:val="Normal"/>
        <w:ind w:firstLine="567"/>
        <w:jc w:val="both"/>
        <w:rPr/>
      </w:pPr>
      <w:r>
        <w:rPr/>
        <w:t>7.4.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pPr>
        <w:pStyle w:val="Normal"/>
        <w:ind w:firstLine="567"/>
        <w:jc w:val="both"/>
        <w:rPr/>
      </w:pPr>
      <w:r>
        <w:rPr/>
        <w:t xml:space="preserve">7.5. </w:t>
      </w:r>
      <w:r>
        <w:rPr>
          <w:color w:val="000000"/>
        </w:rPr>
        <w:t xml:space="preserve">В случае повторного выявления </w:t>
      </w:r>
      <w:r>
        <w:rP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pPr>
        <w:pStyle w:val="Normal"/>
        <w:ind w:firstLine="567"/>
        <w:jc w:val="both"/>
        <w:rPr/>
      </w:pPr>
      <w:r>
        <w:rPr/>
        <w:t>7.6.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требуемых отчетных документов, а также неправильного оформления документов.</w:t>
      </w:r>
    </w:p>
    <w:p>
      <w:pPr>
        <w:pStyle w:val="Normal"/>
        <w:ind w:firstLine="567"/>
        <w:jc w:val="both"/>
        <w:rPr/>
      </w:pPr>
      <w:r>
        <w:rPr/>
      </w:r>
    </w:p>
    <w:p>
      <w:pPr>
        <w:pStyle w:val="Style29"/>
        <w:suppressLineNumbers/>
        <w:suppressAutoHyphens w:val="true"/>
        <w:spacing w:before="0" w:after="0"/>
        <w:ind w:left="0" w:firstLine="567"/>
        <w:jc w:val="center"/>
        <w:rPr>
          <w:rFonts w:ascii="Times New Roman" w:hAnsi="Times New Roman"/>
          <w:b/>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pPr>
        <w:pStyle w:val="Normal"/>
        <w:ind w:firstLine="567"/>
        <w:jc w:val="center"/>
        <w:rPr>
          <w:b/>
          <w:b/>
          <w:caps/>
        </w:rPr>
      </w:pPr>
      <w:r>
        <w:rPr>
          <w:b/>
          <w:caps/>
        </w:rPr>
        <w:t>нарушения обязательств</w:t>
      </w:r>
    </w:p>
    <w:p>
      <w:pPr>
        <w:pStyle w:val="Normal"/>
        <w:ind w:firstLine="567"/>
        <w:jc w:val="center"/>
        <w:rPr>
          <w:b/>
          <w:b/>
        </w:rPr>
      </w:pPr>
      <w:r>
        <w:rPr>
          <w:b/>
        </w:rPr>
      </w:r>
    </w:p>
    <w:p>
      <w:pPr>
        <w:pStyle w:val="Normal"/>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pPr>
        <w:pStyle w:val="Normal"/>
        <w:shd w:val="clear" w:color="auto" w:fill="FFFFFF"/>
        <w:tabs>
          <w:tab w:val="clear" w:pos="708"/>
          <w:tab w:val="left" w:pos="-3780" w:leader="none"/>
          <w:tab w:val="left" w:pos="-3420" w:leader="none"/>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pPr>
        <w:pStyle w:val="Normal"/>
        <w:shd w:val="clear" w:color="auto" w:fill="FFFFFF"/>
        <w:tabs>
          <w:tab w:val="clear" w:pos="708"/>
          <w:tab w:val="left" w:pos="-3780" w:leader="none"/>
          <w:tab w:val="left" w:pos="-3420" w:leader="none"/>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pPr>
        <w:pStyle w:val="Normal"/>
        <w:tabs>
          <w:tab w:val="clear" w:pos="708"/>
          <w:tab w:val="left" w:pos="930" w:leader="none"/>
        </w:tabs>
        <w:ind w:firstLine="567"/>
        <w:jc w:val="both"/>
        <w:rPr>
          <w:rFonts w:eastAsia="Calibri"/>
        </w:rPr>
      </w:pPr>
      <w:r>
        <w:rPr>
          <w:rFonts w:eastAsia="Calibri"/>
        </w:rPr>
        <w:t xml:space="preserve">8.4. </w:t>
      </w:r>
      <w:r>
        <w:rP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t>.</w:t>
      </w:r>
    </w:p>
    <w:p>
      <w:pPr>
        <w:pStyle w:val="Normal"/>
        <w:ind w:firstLine="567"/>
        <w:jc w:val="both"/>
        <w:rPr>
          <w:b/>
          <w:b/>
        </w:rPr>
      </w:pPr>
      <w:r>
        <w:rPr>
          <w:b/>
        </w:rPr>
        <w:t>8.5. Ответственность Заказчика:</w:t>
      </w:r>
    </w:p>
    <w:p>
      <w:pPr>
        <w:pStyle w:val="Normal"/>
        <w:widowControl w:val="false"/>
        <w:suppressAutoHyphens w:val="true"/>
        <w:ind w:firstLine="567"/>
        <w:jc w:val="both"/>
        <w:rPr>
          <w:lang w:eastAsia="ar-SA"/>
        </w:rPr>
      </w:pPr>
      <w:r>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widowControl w:val="false"/>
        <w:suppressAutoHyphens w:val="true"/>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tabs>
          <w:tab w:val="clear" w:pos="708"/>
          <w:tab w:val="left" w:pos="930" w:leader="none"/>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Normal"/>
        <w:widowControl w:val="false"/>
        <w:suppressAutoHyphens w:val="true"/>
        <w:ind w:firstLine="567"/>
        <w:jc w:val="both"/>
        <w:rPr/>
      </w:pPr>
      <w:r>
        <w:rPr>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r>
        <w:rPr/>
        <w:t xml:space="preserve">1000 рублей, если цена контракта не превышает 3 млн. рублей (включительно); </w:t>
      </w:r>
    </w:p>
    <w:p>
      <w:pPr>
        <w:pStyle w:val="Normal"/>
        <w:widowControl w:val="false"/>
        <w:suppressAutoHyphens w:val="true"/>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widowControl w:val="false"/>
        <w:suppressAutoHyphens w:val="true"/>
        <w:ind w:firstLine="567"/>
        <w:jc w:val="both"/>
        <w:rPr>
          <w:rFonts w:cs="Arial"/>
          <w:b/>
          <w:b/>
          <w:lang w:eastAsia="ar-SA"/>
        </w:rPr>
      </w:pPr>
      <w:r>
        <w:rPr>
          <w:rFonts w:cs="Arial"/>
          <w:b/>
          <w:lang w:eastAsia="ar-SA"/>
        </w:rPr>
        <w:t xml:space="preserve">8.6. Ответственность </w:t>
      </w:r>
      <w:r>
        <w:rPr>
          <w:b/>
          <w:lang w:eastAsia="ar-SA"/>
        </w:rPr>
        <w:t>Исполнителя</w:t>
      </w:r>
      <w:r>
        <w:rPr>
          <w:rFonts w:cs="Arial"/>
          <w:b/>
          <w:lang w:eastAsia="ar-SA"/>
        </w:rPr>
        <w:t>:</w:t>
      </w:r>
    </w:p>
    <w:p>
      <w:pPr>
        <w:pStyle w:val="Normal"/>
        <w:widowControl w:val="false"/>
        <w:suppressAutoHyphens w:val="true"/>
        <w:ind w:firstLine="567"/>
        <w:jc w:val="both"/>
        <w:rPr>
          <w:lang w:eastAsia="ar-SA"/>
        </w:rPr>
      </w:pPr>
      <w:r>
        <w:rPr>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widowControl w:val="false"/>
        <w:suppressAutoHyphens w:val="true"/>
        <w:ind w:firstLine="567"/>
        <w:jc w:val="both"/>
        <w:rPr>
          <w:rFonts w:ascii="Verdana" w:hAnsi="Verdana"/>
          <w:sz w:val="21"/>
          <w:szCs w:val="21"/>
        </w:rPr>
      </w:pPr>
      <w:r>
        <w:rPr>
          <w:lang w:eastAsia="ar-SA"/>
        </w:rPr>
        <w:t xml:space="preserve">8.6.2. </w:t>
      </w:r>
      <w:r>
        <w:rPr/>
        <w:t xml:space="preserve">Пеня начисляется за каждый день просрочки исполнения </w:t>
      </w:r>
      <w:r>
        <w:rPr>
          <w:lang w:eastAsia="ar-SA"/>
        </w:rPr>
        <w:t>Исполнителем</w:t>
      </w:r>
      <w:r>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rPr/>
        <w:t>, за исключением случаев, если законодательством Российской Федерации установлен иной порядок начисления пени.</w:t>
      </w:r>
    </w:p>
    <w:p>
      <w:pPr>
        <w:pStyle w:val="Normal"/>
        <w:ind w:firstLine="567"/>
        <w:jc w:val="both"/>
        <w:rPr/>
      </w:pPr>
      <w:r>
        <w:rPr>
          <w:lang w:eastAsia="ar-SA"/>
        </w:rPr>
        <w:t>8.6.3.</w:t>
      </w:r>
      <w:r>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Normal"/>
        <w:widowControl w:val="false"/>
        <w:suppressAutoHyphens w:val="true"/>
        <w:ind w:firstLine="567"/>
        <w:jc w:val="both"/>
        <w:rPr>
          <w:lang w:eastAsia="ar-SA"/>
        </w:rPr>
      </w:pPr>
      <w:r>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 10 процентов цены Контракта (этапа) в случае, если цена Контракта (этапа) не превышает 3 млн. рублей;</w:t>
      </w:r>
    </w:p>
    <w:p>
      <w:pPr>
        <w:pStyle w:val="Normal"/>
        <w:widowControl w:val="false"/>
        <w:suppressAutoHyphens w:val="true"/>
        <w:ind w:firstLine="567"/>
        <w:jc w:val="both"/>
        <w:rPr>
          <w:rFonts w:eastAsia="Calibri"/>
        </w:rPr>
      </w:pPr>
      <w:r>
        <w:rPr>
          <w:lang w:eastAsia="ar-SA"/>
        </w:rPr>
        <w:t xml:space="preserve">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w:t>
      </w:r>
      <w:r>
        <w:rPr>
          <w:rFonts w:eastAsia="Calibri"/>
        </w:rPr>
        <w:t>1000 рублей, если цена Контракта не превышает 3 млн. рублей;</w:t>
      </w:r>
    </w:p>
    <w:p>
      <w:pPr>
        <w:pStyle w:val="Normal"/>
        <w:widowControl w:val="false"/>
        <w:suppressAutoHyphens w:val="true"/>
        <w:ind w:firstLine="567"/>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tabs>
          <w:tab w:val="clear" w:pos="708"/>
          <w:tab w:val="left" w:pos="930" w:leader="none"/>
        </w:tabs>
        <w:ind w:firstLine="567"/>
        <w:jc w:val="both"/>
        <w:rPr>
          <w:rFonts w:eastAsia="Calibri"/>
        </w:rPr>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pPr>
        <w:pStyle w:val="Normal"/>
        <w:tabs>
          <w:tab w:val="clear" w:pos="708"/>
          <w:tab w:val="left" w:pos="1134" w:leader="none"/>
        </w:tabs>
        <w:ind w:firstLine="567"/>
        <w:jc w:val="both"/>
        <w:rPr>
          <w:rFonts w:eastAsia="Calibri"/>
        </w:rPr>
      </w:pPr>
      <w:r>
        <w:rPr>
          <w:rFonts w:eastAsia="Calibri"/>
        </w:rPr>
        <w:t>8.8. Указанная в настоящем Контракте неустойка (пени, штрафа) взимается за каждое нарушение в отдельности.</w:t>
      </w:r>
    </w:p>
    <w:p>
      <w:pPr>
        <w:pStyle w:val="Normal"/>
        <w:tabs>
          <w:tab w:val="clear" w:pos="708"/>
          <w:tab w:val="left" w:pos="1134" w:leader="none"/>
        </w:tabs>
        <w:ind w:firstLine="567"/>
        <w:jc w:val="both"/>
        <w:rPr>
          <w:rFonts w:eastAsia="Calibri"/>
        </w:rPr>
      </w:pPr>
      <w:r>
        <w:rPr>
          <w:rFonts w:eastAsia="Calibri"/>
        </w:rPr>
        <w:t>8.9.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tabs>
          <w:tab w:val="clear" w:pos="708"/>
          <w:tab w:val="left" w:pos="1134" w:leader="none"/>
        </w:tabs>
        <w:ind w:firstLine="567"/>
        <w:jc w:val="both"/>
        <w:rPr>
          <w:rFonts w:eastAsia="Calibri"/>
          <w:lang w:bidi="ru-RU"/>
        </w:rPr>
      </w:pPr>
      <w:r>
        <w:rPr>
          <w:rFonts w:eastAsia="Calibri"/>
          <w:lang w:bidi="ru-RU"/>
        </w:rPr>
        <w:t xml:space="preserve">8.10. </w:t>
      </w:r>
      <w:r>
        <w:rPr>
          <w:rFonts w:eastAsia="Calibri"/>
        </w:rPr>
        <w:t>Заказчик вправе произвести перечисление денежных средств в оплату исполненных обязательств по Контракту в сумме, уменьшенной на суммы неисполненных поставщиком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pPr>
        <w:pStyle w:val="Normal"/>
        <w:tabs>
          <w:tab w:val="clear" w:pos="708"/>
          <w:tab w:val="left" w:pos="1134" w:leader="none"/>
        </w:tabs>
        <w:ind w:firstLine="567"/>
        <w:jc w:val="both"/>
        <w:rPr>
          <w:rFonts w:eastAsia="Calibri"/>
          <w:lang w:bidi="ru-RU"/>
        </w:rPr>
      </w:pPr>
      <w:r>
        <w:rPr>
          <w:rFonts w:eastAsia="Calibri"/>
          <w:lang w:bidi="ru-RU"/>
        </w:rPr>
        <w:t>8.11.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567"/>
        <w:jc w:val="both"/>
        <w:rPr>
          <w:rFonts w:eastAsia="Calibri"/>
        </w:rPr>
      </w:pPr>
      <w:r>
        <w:rPr>
          <w:rFonts w:eastAsia="Calibri"/>
        </w:rPr>
        <w:t xml:space="preserve">8.12.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pPr>
        <w:pStyle w:val="Normal"/>
        <w:ind w:firstLine="567"/>
        <w:jc w:val="both"/>
        <w:rPr>
          <w:rFonts w:eastAsia="Calibri"/>
        </w:rPr>
      </w:pPr>
      <w:r>
        <w:rPr>
          <w:rFonts w:eastAsia="Calibri"/>
        </w:rPr>
        <w:t xml:space="preserve">8.13. Заказчик вправе </w:t>
      </w:r>
      <w:r>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rPr/>
        <w:t xml:space="preserve"> Закона № 44-ФЗ.</w:t>
      </w:r>
    </w:p>
    <w:p>
      <w:pPr>
        <w:pStyle w:val="Normal"/>
        <w:tabs>
          <w:tab w:val="clear" w:pos="708"/>
          <w:tab w:val="left" w:pos="930" w:leader="none"/>
        </w:tabs>
        <w:ind w:firstLine="567"/>
        <w:jc w:val="both"/>
        <w:rPr/>
      </w:pPr>
      <w:r>
        <w:rPr>
          <w:rFonts w:eastAsia="Calibri"/>
        </w:rPr>
        <w:t xml:space="preserve">8.14. </w:t>
      </w:r>
      <w:r>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pPr>
        <w:pStyle w:val="Normal"/>
        <w:ind w:firstLine="567"/>
        <w:jc w:val="both"/>
        <w:rPr>
          <w:rFonts w:eastAsia="Calibri"/>
        </w:rPr>
      </w:pPr>
      <w:r>
        <w:rPr>
          <w:rFonts w:eastAsia="Calibri"/>
        </w:rPr>
        <w:t>8.15.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pPr>
        <w:pStyle w:val="Normal"/>
        <w:ind w:firstLine="567"/>
        <w:jc w:val="both"/>
        <w:rPr/>
      </w:pPr>
      <w:r>
        <w:rPr/>
      </w:r>
    </w:p>
    <w:p>
      <w:pPr>
        <w:pStyle w:val="Normal"/>
        <w:ind w:firstLine="567"/>
        <w:jc w:val="center"/>
        <w:rPr>
          <w:b/>
          <w:b/>
        </w:rPr>
      </w:pPr>
      <w:r>
        <w:rPr>
          <w:b/>
        </w:rPr>
        <w:t>9. ТРЕБОВАНИЯ К СРОКУ И (ИЛИ) ОБЪЕМУ ПРЕДОСТАВЛЕНИЯ</w:t>
      </w:r>
    </w:p>
    <w:p>
      <w:pPr>
        <w:pStyle w:val="Normal"/>
        <w:ind w:firstLine="567"/>
        <w:jc w:val="center"/>
        <w:rPr>
          <w:b/>
          <w:b/>
        </w:rPr>
      </w:pPr>
      <w:r>
        <w:rPr>
          <w:b/>
        </w:rPr>
        <w:t>ГАРАНТИИ КАЧЕСТВА УСЛУГ.</w:t>
      </w:r>
    </w:p>
    <w:p>
      <w:pPr>
        <w:pStyle w:val="Normal"/>
        <w:ind w:firstLine="567"/>
        <w:jc w:val="center"/>
        <w:rPr>
          <w:b/>
          <w:b/>
        </w:rPr>
      </w:pPr>
      <w:r>
        <w:rPr>
          <w:b/>
        </w:rPr>
      </w:r>
    </w:p>
    <w:p>
      <w:pPr>
        <w:pStyle w:val="Normal"/>
        <w:ind w:firstLine="567"/>
        <w:jc w:val="both"/>
        <w:rPr>
          <w:bCs/>
        </w:rPr>
      </w:pPr>
      <w:r>
        <w:rPr/>
        <w:t xml:space="preserve">9.1. </w:t>
      </w:r>
      <w:r>
        <w:rPr>
          <w:bCs/>
        </w:rPr>
        <w:t>Исполнитель гарантирует Заказчику соответствие качества оказываемых услуг условиям настоящего Контракта.</w:t>
      </w:r>
    </w:p>
    <w:p>
      <w:pPr>
        <w:pStyle w:val="Normal"/>
        <w:ind w:firstLine="567"/>
        <w:jc w:val="both"/>
        <w:rPr>
          <w:bCs/>
        </w:rPr>
      </w:pPr>
      <w:r>
        <w:rPr/>
        <w:t xml:space="preserve">9.2.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rPr>
        <w:t>к услугам данного вида.</w:t>
      </w:r>
    </w:p>
    <w:p>
      <w:pPr>
        <w:pStyle w:val="Normal"/>
        <w:ind w:firstLine="567"/>
        <w:jc w:val="both"/>
        <w:rPr/>
      </w:pPr>
      <w:r>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10. Прочие условия</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BodyText2"/>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Normal"/>
        <w:ind w:firstLine="567"/>
        <w:jc w:val="both"/>
        <w:rPr/>
      </w:pPr>
      <w:r>
        <w:rPr/>
        <w:t xml:space="preserve">В случае неисполнения или ненадлежащего исполнения Исполнителем обязательств, предусмотренных Контрактом, Заказчик вправе удержать размер начисленных неустоек </w:t>
      </w:r>
      <w:r>
        <w:rPr>
          <w:color w:val="000000"/>
        </w:rPr>
        <w:t>(штрафа, пени)</w:t>
      </w:r>
      <w:r>
        <w:rPr/>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pPr>
        <w:pStyle w:val="Normal"/>
        <w:ind w:firstLine="567"/>
        <w:jc w:val="both"/>
        <w:rPr>
          <w:bCs/>
        </w:rPr>
      </w:pPr>
      <w:r>
        <w:rPr/>
        <w:t>10.5.</w:t>
      </w:r>
      <w:r>
        <w:rPr>
          <w:bCs/>
        </w:rPr>
        <w:t xml:space="preserve"> 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pPr>
        <w:pStyle w:val="Normal"/>
        <w:tabs>
          <w:tab w:val="clear" w:pos="708"/>
          <w:tab w:val="left" w:pos="709" w:leader="none"/>
        </w:tabs>
        <w:ind w:firstLine="567"/>
        <w:jc w:val="both"/>
        <w:rPr/>
      </w:pPr>
      <w:r>
        <w:rPr/>
        <w:t>10.6.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tabs>
          <w:tab w:val="clear" w:pos="708"/>
          <w:tab w:val="left" w:pos="709" w:leader="none"/>
        </w:tabs>
        <w:ind w:firstLine="567"/>
        <w:jc w:val="both"/>
        <w:rPr/>
      </w:pPr>
      <w:r>
        <w:rPr/>
        <w:t xml:space="preserve">10.7.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pPr>
        <w:pStyle w:val="Normal"/>
        <w:ind w:firstLine="540"/>
        <w:jc w:val="both"/>
        <w:rPr/>
      </w:pPr>
      <w:r>
        <w:rPr>
          <w:bCs/>
        </w:rPr>
        <w:t xml:space="preserve">10.8. </w:t>
      </w:r>
      <w:r>
        <w:rPr/>
        <w:t xml:space="preserve">По соглашению сторон допускается изменение существенных условий контракта, заключенного до 1 января 2024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w:t>
      </w:r>
      <w:hyperlink r:id="rId2">
        <w:r>
          <w:rPr>
            <w:color w:val="auto"/>
            <w:u w:val="none"/>
          </w:rPr>
          <w:t>частей 1.3</w:t>
        </w:r>
      </w:hyperlink>
      <w:r>
        <w:rPr/>
        <w:t xml:space="preserve"> - </w:t>
      </w:r>
      <w:hyperlink r:id="rId3">
        <w:r>
          <w:rPr>
            <w:color w:val="auto"/>
            <w:u w:val="none"/>
          </w:rPr>
          <w:t>1.6 статьи 95</w:t>
        </w:r>
      </w:hyperlink>
      <w:r>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pPr>
        <w:pStyle w:val="Normal"/>
        <w:ind w:firstLine="540"/>
        <w:jc w:val="both"/>
        <w:rPr>
          <w:bCs/>
        </w:rPr>
      </w:pPr>
      <w:r>
        <w:rPr>
          <w:bCs/>
        </w:rPr>
        <w:t>10.9. Вопросы, не урегулированные настоящим Контрактом, регулируются действующим законодательством Российской Федерации.</w:t>
      </w:r>
    </w:p>
    <w:p>
      <w:pPr>
        <w:pStyle w:val="Normal"/>
        <w:ind w:firstLine="540"/>
        <w:jc w:val="both"/>
        <w:rPr>
          <w:bCs/>
        </w:rPr>
      </w:pPr>
      <w:r>
        <w:rPr>
          <w:bCs/>
        </w:rPr>
      </w:r>
    </w:p>
    <w:p>
      <w:pPr>
        <w:pStyle w:val="Normal"/>
        <w:jc w:val="center"/>
        <w:rPr>
          <w:b/>
          <w:b/>
          <w:bCs/>
        </w:rPr>
      </w:pPr>
      <w:r>
        <w:rPr>
          <w:b/>
          <w:bCs/>
        </w:rPr>
        <w:t>11. АНТИКОРРУПЦИОННАЯ ОГОВОРКА</w:t>
      </w:r>
    </w:p>
    <w:p>
      <w:pPr>
        <w:pStyle w:val="Normal"/>
        <w:jc w:val="center"/>
        <w:rPr/>
      </w:pPr>
      <w:r>
        <w:rPr/>
      </w:r>
    </w:p>
    <w:p>
      <w:pPr>
        <w:pStyle w:val="Normal"/>
        <w:ind w:firstLine="567"/>
        <w:jc w:val="both"/>
        <w:rPr>
          <w:rFonts w:eastAsia="Calibri"/>
          <w:bCs/>
          <w:lang w:eastAsia="en-US"/>
        </w:rPr>
      </w:pPr>
      <w:r>
        <w:rPr/>
        <w:t xml:space="preserve">11.1. </w:t>
      </w:r>
      <w:r>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ind w:firstLine="567"/>
        <w:jc w:val="both"/>
        <w:rPr>
          <w:bCs/>
        </w:rPr>
      </w:pPr>
      <w:r>
        <w:rPr>
          <w:bCs/>
        </w:rPr>
        <w:t>не совершать иных действий, нарушающих антикоррупционное законодательство Российской Федерации.</w:t>
      </w:r>
    </w:p>
    <w:p>
      <w:pPr>
        <w:pStyle w:val="Style29"/>
        <w:spacing w:before="0" w:after="0"/>
        <w:ind w:left="0" w:firstLine="567"/>
        <w:rPr>
          <w:rFonts w:ascii="Times New Roman" w:hAnsi="Times New Roman"/>
          <w:b/>
          <w:b/>
          <w:caps/>
          <w:sz w:val="24"/>
          <w:szCs w:val="24"/>
        </w:rPr>
      </w:pPr>
      <w:r>
        <w:rPr>
          <w:rFonts w:ascii="Times New Roman" w:hAnsi="Times New Roman"/>
          <w:b/>
          <w:caps/>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12. ПрИЛОЖЕНИЯ</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 xml:space="preserve">12.1. Приложение № 1: «Спецификация» </w:t>
      </w:r>
    </w:p>
    <w:p>
      <w:pPr>
        <w:pStyle w:val="Normal"/>
        <w:ind w:firstLine="567"/>
        <w:jc w:val="both"/>
        <w:rPr>
          <w:i/>
          <w:i/>
        </w:rPr>
      </w:pPr>
      <w:r>
        <w:rPr/>
        <w:t>12.2. Приложение № 2: «</w:t>
      </w:r>
      <w:r>
        <w:rPr>
          <w:rFonts w:eastAsia="Calibri"/>
        </w:rPr>
        <w:t>Техническое задание</w:t>
      </w:r>
      <w:r>
        <w:rPr/>
        <w:t xml:space="preserve">» </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13. место нахождения</w:t>
      </w:r>
    </w:p>
    <w:p>
      <w:pPr>
        <w:pStyle w:val="Style29"/>
        <w:suppressLineNumbers/>
        <w:suppressAutoHyphens w:val="true"/>
        <w:spacing w:before="0" w:after="0"/>
        <w:ind w:left="0" w:firstLine="567"/>
        <w:jc w:val="center"/>
        <w:rPr>
          <w:rFonts w:ascii="Times New Roman" w:hAnsi="Times New Roman"/>
          <w:b/>
          <w:b/>
          <w:caps/>
          <w:sz w:val="24"/>
          <w:szCs w:val="24"/>
        </w:rPr>
      </w:pPr>
      <w:r>
        <w:rPr>
          <w:rFonts w:ascii="Times New Roman" w:hAnsi="Times New Roman"/>
          <w:b/>
          <w:caps/>
          <w:sz w:val="24"/>
          <w:szCs w:val="24"/>
        </w:rPr>
        <w:t>и банковские реквизиты сторон</w:t>
      </w:r>
    </w:p>
    <w:tbl>
      <w:tblPr>
        <w:tblW w:w="9356" w:type="dxa"/>
        <w:jc w:val="left"/>
        <w:tblInd w:w="7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17"/>
              <w:widowControl w:val="false"/>
              <w:spacing w:before="0" w:after="0"/>
              <w:ind w:hanging="0"/>
              <w:rPr>
                <w:b/>
                <w:b/>
                <w:sz w:val="22"/>
                <w:szCs w:val="22"/>
                <w:lang w:eastAsia="ar-SA"/>
              </w:rPr>
            </w:pPr>
            <w:r>
              <w:rPr>
                <w:b/>
                <w:sz w:val="22"/>
                <w:szCs w:val="22"/>
                <w:lang w:eastAsia="ar-SA"/>
              </w:rPr>
              <w:t>13.1. Заказчик</w:t>
            </w:r>
          </w:p>
          <w:p>
            <w:pPr>
              <w:pStyle w:val="17"/>
              <w:widowControl w:val="false"/>
              <w:spacing w:before="0" w:after="0"/>
              <w:ind w:hanging="0"/>
              <w:rPr>
                <w:b/>
                <w:b/>
                <w:sz w:val="22"/>
                <w:szCs w:val="22"/>
                <w:lang w:eastAsia="ar-SA"/>
              </w:rPr>
            </w:pPr>
            <w:r>
              <w:rPr>
                <w:b/>
                <w:sz w:val="22"/>
                <w:szCs w:val="22"/>
                <w:lang w:eastAsia="ar-SA"/>
              </w:rPr>
              <w:t>Санкт-Петербургское государственное бюджетное учреждение здравоохранения «Городская поликлиника № 106»</w:t>
            </w:r>
          </w:p>
          <w:p>
            <w:pPr>
              <w:pStyle w:val="17"/>
              <w:widowControl w:val="false"/>
              <w:spacing w:before="0" w:after="0"/>
              <w:ind w:hanging="0"/>
              <w:rPr>
                <w:sz w:val="22"/>
                <w:szCs w:val="22"/>
                <w:lang w:eastAsia="ar-SA"/>
              </w:rPr>
            </w:pPr>
            <w:r>
              <w:rPr>
                <w:sz w:val="22"/>
                <w:szCs w:val="22"/>
                <w:lang w:eastAsia="ar-SA"/>
              </w:rPr>
              <w:t>(СПб ГБУЗ «Городская поликлиника №106»)</w:t>
            </w:r>
          </w:p>
          <w:p>
            <w:pPr>
              <w:pStyle w:val="17"/>
              <w:widowControl w:val="false"/>
              <w:spacing w:before="0" w:after="0"/>
              <w:ind w:hanging="0"/>
              <w:rPr>
                <w:sz w:val="22"/>
                <w:szCs w:val="22"/>
                <w:lang w:eastAsia="ar-SA"/>
              </w:rPr>
            </w:pPr>
            <w:r>
              <w:rPr>
                <w:sz w:val="22"/>
                <w:szCs w:val="22"/>
                <w:lang w:eastAsia="ar-SA"/>
              </w:rPr>
              <w:t>ИНН 7807012783, КПП 780701001, ОГРН 1037819001340, ОКТМО 40355000, ОКАТО 40279562000, ОКОПФ 75203; ОКПО 34346997</w:t>
            </w:r>
          </w:p>
          <w:p>
            <w:pPr>
              <w:pStyle w:val="17"/>
              <w:widowControl w:val="false"/>
              <w:spacing w:before="0" w:after="0"/>
              <w:ind w:hanging="0"/>
              <w:rPr>
                <w:sz w:val="22"/>
                <w:szCs w:val="22"/>
                <w:lang w:eastAsia="ar-SA"/>
              </w:rPr>
            </w:pPr>
            <w:r>
              <w:rPr>
                <w:sz w:val="22"/>
                <w:szCs w:val="22"/>
                <w:lang w:eastAsia="ar-SA"/>
              </w:rPr>
              <w:t>Дата постановки на учет в налоговом органе: 20.09.1992</w:t>
            </w:r>
          </w:p>
          <w:p>
            <w:pPr>
              <w:pStyle w:val="17"/>
              <w:widowControl w:val="false"/>
              <w:spacing w:before="0" w:after="0"/>
              <w:ind w:hanging="0"/>
              <w:rPr>
                <w:sz w:val="22"/>
                <w:szCs w:val="22"/>
                <w:lang w:eastAsia="ar-SA"/>
              </w:rPr>
            </w:pPr>
            <w:r>
              <w:rPr>
                <w:sz w:val="22"/>
                <w:szCs w:val="22"/>
                <w:lang w:eastAsia="ar-SA"/>
              </w:rPr>
              <w:t>Место нахождения и почтовый адрес: 198328, Санкт-Петербург, ул. Рихарда Зорге, д.1, лит. А</w:t>
            </w:r>
          </w:p>
          <w:p>
            <w:pPr>
              <w:pStyle w:val="17"/>
              <w:widowControl w:val="false"/>
              <w:spacing w:before="0" w:after="0"/>
              <w:ind w:hanging="0"/>
              <w:rPr>
                <w:sz w:val="22"/>
                <w:szCs w:val="22"/>
                <w:lang w:eastAsia="ar-SA"/>
              </w:rPr>
            </w:pPr>
            <w:r>
              <w:rPr>
                <w:sz w:val="22"/>
                <w:szCs w:val="22"/>
                <w:lang w:eastAsia="ar-SA"/>
              </w:rPr>
              <w:t>тел./факс: (812) 246-02-00 (секретарь),</w:t>
            </w:r>
          </w:p>
          <w:p>
            <w:pPr>
              <w:pStyle w:val="17"/>
              <w:widowControl w:val="false"/>
              <w:spacing w:before="0" w:after="0"/>
              <w:ind w:hanging="0"/>
              <w:rPr>
                <w:sz w:val="22"/>
                <w:szCs w:val="22"/>
                <w:lang w:eastAsia="ar-SA"/>
              </w:rPr>
            </w:pPr>
            <w:r>
              <w:rPr>
                <w:sz w:val="22"/>
                <w:szCs w:val="22"/>
                <w:lang w:eastAsia="ar-SA"/>
              </w:rPr>
              <w:t xml:space="preserve">(812) 417-66-43 (отдел </w:t>
            </w:r>
            <w:r>
              <w:rPr>
                <w:color w:val="auto"/>
                <w:sz w:val="22"/>
                <w:szCs w:val="22"/>
                <w:lang w:eastAsia="ar-SA"/>
              </w:rPr>
              <w:t>закупок),</w:t>
            </w:r>
          </w:p>
          <w:p>
            <w:pPr>
              <w:pStyle w:val="17"/>
              <w:widowControl w:val="false"/>
              <w:spacing w:before="0" w:after="0"/>
              <w:ind w:hanging="0"/>
              <w:rPr>
                <w:color w:val="auto"/>
                <w:sz w:val="22"/>
                <w:szCs w:val="22"/>
                <w:lang w:eastAsia="ar-SA"/>
              </w:rPr>
            </w:pPr>
            <w:r>
              <w:rPr>
                <w:color w:val="auto"/>
                <w:sz w:val="22"/>
                <w:szCs w:val="22"/>
                <w:lang w:eastAsia="ar-SA"/>
              </w:rPr>
              <w:t>(812) 246-02-26 (главный бухгалтер).</w:t>
            </w:r>
          </w:p>
          <w:p>
            <w:pPr>
              <w:pStyle w:val="17"/>
              <w:widowControl w:val="false"/>
              <w:spacing w:before="0" w:after="0"/>
              <w:ind w:hanging="0"/>
              <w:rPr>
                <w:color w:val="auto"/>
                <w:sz w:val="22"/>
                <w:szCs w:val="22"/>
                <w:lang w:eastAsia="ar-SA"/>
              </w:rPr>
            </w:pPr>
            <w:r>
              <w:rPr>
                <w:color w:val="auto"/>
                <w:sz w:val="22"/>
                <w:szCs w:val="22"/>
                <w:lang w:eastAsia="ar-SA"/>
              </w:rPr>
              <w:t>Электронная почта: gz@p106.org.ru</w:t>
            </w:r>
            <w:r>
              <w:rPr>
                <w:sz w:val="22"/>
                <w:szCs w:val="22"/>
                <w:lang w:eastAsia="ar-SA"/>
              </w:rPr>
              <w:t>, p106@zdrav.spb.ru</w:t>
            </w:r>
          </w:p>
          <w:p>
            <w:pPr>
              <w:pStyle w:val="17"/>
              <w:widowControl w:val="false"/>
              <w:spacing w:before="0" w:after="0"/>
              <w:ind w:hanging="0"/>
              <w:rPr>
                <w:sz w:val="22"/>
                <w:szCs w:val="22"/>
                <w:lang w:eastAsia="ar-SA"/>
              </w:rPr>
            </w:pPr>
            <w:r>
              <w:rPr>
                <w:sz w:val="22"/>
                <w:szCs w:val="22"/>
                <w:lang w:eastAsia="ar-SA"/>
              </w:rPr>
              <w:t>Банковские реквизиты: Комитет финансов Санкт-Петербурга (СПб ГБУЗ «Городская поликлиника №106»), лицевой счет: 0551007, р/с 03224643400000007200, Северо-Западное ГУ Банка России//УФК по Санкт-Петербургу, г. Санкт-Петербург,  БИК 014030106, к/с 40102810945370000005</w:t>
            </w:r>
          </w:p>
        </w:tc>
        <w:tc>
          <w:tcPr>
            <w:tcW w:w="4677" w:type="dxa"/>
            <w:tcBorders/>
          </w:tcPr>
          <w:p>
            <w:pPr>
              <w:pStyle w:val="17"/>
              <w:widowControl w:val="false"/>
              <w:spacing w:before="0" w:after="0"/>
              <w:ind w:firstLine="15"/>
              <w:rPr>
                <w:b/>
                <w:b/>
                <w:sz w:val="22"/>
                <w:szCs w:val="22"/>
                <w:lang w:eastAsia="ar-SA"/>
              </w:rPr>
            </w:pPr>
            <w:r>
              <w:rPr>
                <w:b/>
                <w:sz w:val="22"/>
                <w:szCs w:val="22"/>
                <w:lang w:eastAsia="ar-SA"/>
              </w:rPr>
              <w:t>13.2. Исполнитель:</w:t>
            </w:r>
          </w:p>
          <w:p>
            <w:pPr>
              <w:pStyle w:val="17"/>
              <w:widowControl w:val="false"/>
              <w:spacing w:before="60" w:after="60"/>
              <w:ind w:hanging="0"/>
              <w:rPr>
                <w:b/>
                <w:b/>
                <w:sz w:val="22"/>
                <w:szCs w:val="22"/>
                <w:lang w:eastAsia="ar-SA"/>
              </w:rPr>
            </w:pPr>
            <w:r>
              <w:rPr>
                <w:b/>
                <w:sz w:val="22"/>
                <w:szCs w:val="22"/>
                <w:lang w:eastAsia="ar-SA"/>
              </w:rPr>
            </w:r>
          </w:p>
        </w:tc>
      </w:tr>
      <w:tr>
        <w:trPr>
          <w:trHeight w:val="283" w:hRule="atLeast"/>
          <w:cantSplit w:val="true"/>
        </w:trPr>
        <w:tc>
          <w:tcPr>
            <w:tcW w:w="4678" w:type="dxa"/>
            <w:tcBorders/>
          </w:tcPr>
          <w:p>
            <w:pPr>
              <w:pStyle w:val="17"/>
              <w:widowControl w:val="false"/>
              <w:snapToGrid w:val="false"/>
              <w:spacing w:before="0" w:after="0"/>
              <w:rPr>
                <w:sz w:val="22"/>
                <w:szCs w:val="22"/>
                <w:lang w:eastAsia="ar-SA"/>
              </w:rPr>
            </w:pPr>
            <w:r>
              <w:rPr>
                <w:sz w:val="22"/>
                <w:szCs w:val="22"/>
                <w:lang w:eastAsia="ar-SA"/>
              </w:rPr>
            </w:r>
          </w:p>
          <w:p>
            <w:pPr>
              <w:pStyle w:val="17"/>
              <w:widowControl w:val="false"/>
              <w:spacing w:before="0" w:after="0"/>
              <w:ind w:hanging="0"/>
              <w:rPr>
                <w:spacing w:val="1"/>
                <w:sz w:val="22"/>
                <w:szCs w:val="22"/>
                <w:lang w:eastAsia="ar-SA"/>
              </w:rPr>
            </w:pPr>
            <w:r>
              <w:rPr>
                <w:spacing w:val="1"/>
                <w:sz w:val="22"/>
                <w:szCs w:val="22"/>
                <w:lang w:eastAsia="ar-SA"/>
              </w:rPr>
              <w:t>Заказчик:</w:t>
            </w:r>
          </w:p>
          <w:p>
            <w:pPr>
              <w:pStyle w:val="17"/>
              <w:widowControl w:val="false"/>
              <w:spacing w:before="0" w:after="0"/>
              <w:ind w:hanging="0"/>
              <w:rPr>
                <w:sz w:val="22"/>
                <w:szCs w:val="22"/>
              </w:rPr>
            </w:pPr>
            <w:r>
              <w:rPr>
                <w:sz w:val="22"/>
                <w:szCs w:val="22"/>
              </w:rPr>
              <w:t>Главный врач</w:t>
            </w:r>
          </w:p>
          <w:p>
            <w:pPr>
              <w:pStyle w:val="17"/>
              <w:widowControl w:val="false"/>
              <w:spacing w:before="0" w:after="0"/>
              <w:ind w:hanging="0"/>
              <w:rPr>
                <w:sz w:val="22"/>
                <w:szCs w:val="22"/>
              </w:rPr>
            </w:pPr>
            <w:r>
              <w:rPr>
                <w:sz w:val="22"/>
                <w:szCs w:val="22"/>
              </w:rPr>
              <w:t>СПб ГБУЗ «Городская поликлиника № 106»</w:t>
            </w:r>
          </w:p>
          <w:p>
            <w:pPr>
              <w:pStyle w:val="17"/>
              <w:widowControl w:val="false"/>
              <w:spacing w:before="0" w:after="0"/>
              <w:ind w:hanging="0"/>
              <w:rPr>
                <w:sz w:val="22"/>
                <w:szCs w:val="22"/>
              </w:rPr>
            </w:pPr>
            <w:r>
              <w:rPr>
                <w:sz w:val="22"/>
                <w:szCs w:val="22"/>
              </w:rPr>
              <w:t xml:space="preserve">В.Г. Кунин </w:t>
            </w:r>
            <w:r>
              <w:rPr>
                <w:sz w:val="22"/>
                <w:szCs w:val="22"/>
                <w:lang w:eastAsia="ar-SA"/>
              </w:rPr>
              <w:t xml:space="preserve"> (ПОДПИСАНО ЭЦП)</w:t>
            </w:r>
          </w:p>
        </w:tc>
        <w:tc>
          <w:tcPr>
            <w:tcW w:w="4677" w:type="dxa"/>
            <w:tcBorders/>
          </w:tcPr>
          <w:p>
            <w:pPr>
              <w:pStyle w:val="17"/>
              <w:widowControl w:val="false"/>
              <w:spacing w:before="0" w:after="0"/>
              <w:rPr>
                <w:spacing w:val="1"/>
                <w:sz w:val="22"/>
                <w:szCs w:val="22"/>
                <w:lang w:eastAsia="ar-SA"/>
              </w:rPr>
            </w:pPr>
            <w:r>
              <w:rPr>
                <w:spacing w:val="1"/>
                <w:sz w:val="22"/>
                <w:szCs w:val="22"/>
                <w:lang w:eastAsia="ar-SA"/>
              </w:rPr>
            </w:r>
          </w:p>
          <w:p>
            <w:pPr>
              <w:pStyle w:val="17"/>
              <w:widowControl w:val="false"/>
              <w:spacing w:before="0" w:after="0"/>
              <w:ind w:hanging="0"/>
              <w:rPr>
                <w:spacing w:val="1"/>
                <w:sz w:val="22"/>
                <w:szCs w:val="22"/>
                <w:lang w:eastAsia="ar-SA"/>
              </w:rPr>
            </w:pPr>
            <w:r>
              <w:rPr>
                <w:spacing w:val="1"/>
                <w:sz w:val="22"/>
                <w:szCs w:val="22"/>
                <w:lang w:eastAsia="ar-SA"/>
              </w:rPr>
              <w:t>Исполнитель:</w:t>
            </w:r>
          </w:p>
          <w:p>
            <w:pPr>
              <w:pStyle w:val="17"/>
              <w:widowControl w:val="false"/>
              <w:spacing w:before="0" w:after="0"/>
              <w:ind w:hanging="0"/>
              <w:rPr>
                <w:spacing w:val="1"/>
                <w:sz w:val="22"/>
                <w:szCs w:val="22"/>
                <w:lang w:eastAsia="ar-SA"/>
              </w:rPr>
            </w:pPr>
            <w:r>
              <w:rPr>
                <w:spacing w:val="1"/>
                <w:sz w:val="22"/>
                <w:szCs w:val="22"/>
                <w:lang w:eastAsia="ar-SA"/>
              </w:rPr>
            </w:r>
          </w:p>
        </w:tc>
      </w:tr>
    </w:tbl>
    <w:p>
      <w:pPr>
        <w:pStyle w:val="Normal"/>
        <w:tabs>
          <w:tab w:val="clear" w:pos="708"/>
          <w:tab w:val="left" w:pos="6520" w:leader="none"/>
        </w:tabs>
        <w:rPr>
          <w:b/>
          <w:b/>
        </w:rPr>
      </w:pPr>
      <w:r>
        <w:rPr>
          <w:b/>
        </w:rPr>
      </w:r>
    </w:p>
    <w:p>
      <w:pPr>
        <w:pStyle w:val="Normal"/>
        <w:rPr>
          <w:b/>
          <w:b/>
        </w:rPr>
      </w:pPr>
      <w:r>
        <w:rPr>
          <w:b/>
        </w:rPr>
      </w:r>
      <w:r>
        <w:br w:type="page"/>
      </w:r>
    </w:p>
    <w:p>
      <w:pPr>
        <w:pStyle w:val="Normal"/>
        <w:tabs>
          <w:tab w:val="clear" w:pos="708"/>
          <w:tab w:val="left" w:pos="6520" w:leader="none"/>
        </w:tabs>
        <w:ind w:firstLine="567"/>
        <w:jc w:val="right"/>
        <w:rPr>
          <w:b/>
          <w:b/>
        </w:rPr>
      </w:pPr>
      <w:r>
        <w:rPr>
          <w:b/>
        </w:rPr>
        <w:t xml:space="preserve">Приложение № 1 </w:t>
      </w:r>
    </w:p>
    <w:p>
      <w:pPr>
        <w:pStyle w:val="Normal"/>
        <w:tabs>
          <w:tab w:val="clear" w:pos="708"/>
          <w:tab w:val="left" w:pos="6520" w:leader="none"/>
        </w:tabs>
        <w:ind w:firstLine="567"/>
        <w:jc w:val="right"/>
        <w:rPr>
          <w:sz w:val="28"/>
          <w:szCs w:val="28"/>
        </w:rPr>
      </w:pPr>
      <w:r>
        <w:rPr/>
        <w:tab/>
      </w:r>
    </w:p>
    <w:p>
      <w:pPr>
        <w:pStyle w:val="Normal"/>
        <w:ind w:firstLine="567"/>
        <w:jc w:val="center"/>
        <w:rPr>
          <w:b/>
          <w:b/>
        </w:rPr>
      </w:pPr>
      <w:r>
        <w:rPr>
          <w:b/>
        </w:rPr>
        <w:t>Спецификация</w:t>
      </w:r>
    </w:p>
    <w:p>
      <w:pPr>
        <w:pStyle w:val="Normal"/>
        <w:ind w:firstLine="567"/>
        <w:jc w:val="center"/>
        <w:rPr/>
      </w:pPr>
      <w:r>
        <w:rPr/>
      </w:r>
    </w:p>
    <w:tbl>
      <w:tblPr>
        <w:tblW w:w="5000" w:type="pct"/>
        <w:jc w:val="left"/>
        <w:tblInd w:w="0" w:type="dxa"/>
        <w:tblLayout w:type="fixed"/>
        <w:tblCellMar>
          <w:top w:w="0" w:type="dxa"/>
          <w:left w:w="108" w:type="dxa"/>
          <w:bottom w:w="0" w:type="dxa"/>
          <w:right w:w="108" w:type="dxa"/>
        </w:tblCellMar>
        <w:tblLook w:val="01e0"/>
      </w:tblPr>
      <w:tblGrid>
        <w:gridCol w:w="606"/>
        <w:gridCol w:w="2034"/>
        <w:gridCol w:w="2619"/>
        <w:gridCol w:w="1415"/>
        <w:gridCol w:w="1415"/>
        <w:gridCol w:w="1407"/>
      </w:tblGrid>
      <w:tr>
        <w:trPr/>
        <w:tc>
          <w:tcPr>
            <w:tcW w:w="6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w:t>
            </w:r>
          </w:p>
          <w:p>
            <w:pPr>
              <w:pStyle w:val="Normal"/>
              <w:widowControl w:val="false"/>
              <w:jc w:val="center"/>
              <w:rPr>
                <w:b/>
                <w:b/>
              </w:rPr>
            </w:pPr>
            <w:r>
              <w:rPr>
                <w:b/>
              </w:rPr>
              <w:t>п/п</w:t>
            </w:r>
          </w:p>
        </w:tc>
        <w:tc>
          <w:tcPr>
            <w:tcW w:w="20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Наименование услуг</w:t>
            </w:r>
          </w:p>
        </w:tc>
        <w:tc>
          <w:tcPr>
            <w:tcW w:w="26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firstLine="28"/>
              <w:jc w:val="center"/>
              <w:rPr>
                <w:b/>
                <w:b/>
              </w:rPr>
            </w:pPr>
            <w:r>
              <w:rPr>
                <w:b/>
              </w:rPr>
              <w:t>Форма обучения, количество академических часов</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Количество обучающихся (чел.)</w:t>
            </w:r>
          </w:p>
        </w:tc>
        <w:tc>
          <w:tcPr>
            <w:tcW w:w="141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b/>
              </w:rPr>
              <w:t>Цена за ед., руб.</w:t>
            </w:r>
          </w:p>
        </w:tc>
        <w:tc>
          <w:tcPr>
            <w:tcW w:w="14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b/>
              </w:rPr>
              <w:t>ИТОГО, руб.</w:t>
            </w:r>
          </w:p>
        </w:tc>
      </w:tr>
      <w:tr>
        <w:trPr>
          <w:trHeight w:val="271" w:hRule="atLeast"/>
        </w:trPr>
        <w:tc>
          <w:tcPr>
            <w:tcW w:w="6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w:t>
            </w:r>
          </w:p>
        </w:tc>
        <w:tc>
          <w:tcPr>
            <w:tcW w:w="20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ind w:hanging="0"/>
              <w:rPr>
                <w:b w:val="false"/>
                <w:b w:val="false"/>
                <w:i/>
                <w:i/>
                <w:szCs w:val="24"/>
                <w:highlight w:val="cyan"/>
              </w:rPr>
            </w:pPr>
            <w:r>
              <w:rPr>
                <w:b w:val="false"/>
                <w:color w:val="000000"/>
                <w:szCs w:val="24"/>
              </w:rPr>
              <w:t xml:space="preserve"> </w:t>
            </w:r>
            <w:r>
              <w:rPr>
                <w:b w:val="false"/>
                <w:color w:val="000000"/>
                <w:szCs w:val="24"/>
              </w:rPr>
              <w:t>Оказание образовательных услуг по программе: «Организация антитеррористической защищенности медицинских учреждений» для нужд СПб ГБУЗ «Городская поликлиника № 106» в 2024 году</w:t>
            </w:r>
          </w:p>
        </w:tc>
        <w:tc>
          <w:tcPr>
            <w:tcW w:w="26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tLeast" w:line="163"/>
              <w:jc w:val="center"/>
              <w:rPr>
                <w:b/>
                <w:b/>
                <w:color w:val="000000"/>
              </w:rPr>
            </w:pPr>
            <w:r>
              <w:rPr>
                <w:b/>
                <w:color w:val="000000"/>
              </w:rPr>
              <w:t>Очно(Очно-Заочно)форме,</w:t>
            </w:r>
          </w:p>
          <w:p>
            <w:pPr>
              <w:pStyle w:val="Normal"/>
              <w:widowControl w:val="false"/>
              <w:spacing w:lineRule="atLeast" w:line="163"/>
              <w:jc w:val="center"/>
              <w:rPr>
                <w:b/>
                <w:b/>
                <w:color w:val="000000"/>
              </w:rPr>
            </w:pPr>
            <w:r>
              <w:rPr>
                <w:b/>
                <w:color w:val="000000"/>
              </w:rPr>
              <w:t>36</w:t>
            </w:r>
            <w:r>
              <w:rPr>
                <w:b/>
                <w:color w:val="000000"/>
              </w:rPr>
              <w:t xml:space="preserve"> часов</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31" w:hanging="0"/>
              <w:jc w:val="center"/>
              <w:rPr>
                <w:color w:val="000000"/>
              </w:rPr>
            </w:pPr>
            <w:r>
              <w:rPr>
                <w:color w:val="000000"/>
              </w:rPr>
              <w:t>3</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1" w:hanging="0"/>
              <w:jc w:val="center"/>
              <w:rPr>
                <w:color w:val="000000"/>
              </w:rPr>
            </w:pPr>
            <w:r>
              <w:rPr>
                <w:color w:val="000000"/>
              </w:rPr>
            </w:r>
          </w:p>
        </w:tc>
        <w:tc>
          <w:tcPr>
            <w:tcW w:w="14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1" w:hanging="0"/>
              <w:jc w:val="center"/>
              <w:rPr>
                <w:color w:val="000000"/>
              </w:rPr>
            </w:pPr>
            <w:r>
              <w:rPr>
                <w:color w:val="000000"/>
              </w:rPr>
            </w:r>
          </w:p>
        </w:tc>
      </w:tr>
    </w:tbl>
    <w:p>
      <w:pPr>
        <w:pStyle w:val="Normal"/>
        <w:ind w:firstLine="567"/>
        <w:jc w:val="center"/>
        <w:rPr/>
      </w:pPr>
      <w:r>
        <w:rPr/>
      </w:r>
    </w:p>
    <w:p>
      <w:pPr>
        <w:pStyle w:val="Normal"/>
        <w:rPr>
          <w:b/>
          <w:b/>
        </w:rPr>
      </w:pPr>
      <w:r>
        <w:rPr>
          <w:b/>
        </w:rPr>
        <w:t>Итого: _________________</w:t>
      </w:r>
    </w:p>
    <w:p>
      <w:pPr>
        <w:pStyle w:val="Normal"/>
        <w:rPr>
          <w:b/>
          <w:b/>
        </w:rPr>
      </w:pPr>
      <w:r>
        <w:rPr>
          <w:b/>
        </w:rPr>
      </w:r>
    </w:p>
    <w:p>
      <w:pPr>
        <w:pStyle w:val="Normal"/>
        <w:rPr>
          <w:b/>
          <w:b/>
        </w:rPr>
      </w:pPr>
      <w:r>
        <w:rPr>
          <w:b/>
        </w:rPr>
      </w:r>
    </w:p>
    <w:tbl>
      <w:tblPr>
        <w:tblW w:w="9356" w:type="dxa"/>
        <w:jc w:val="center"/>
        <w:tblInd w:w="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Normal"/>
              <w:widowControl w:val="false"/>
              <w:suppressAutoHyphens w:val="true"/>
              <w:rPr>
                <w:b/>
                <w:b/>
                <w:sz w:val="22"/>
                <w:szCs w:val="22"/>
                <w:lang w:eastAsia="ar-SA"/>
              </w:rPr>
            </w:pPr>
            <w:r>
              <w:rPr>
                <w:b/>
                <w:sz w:val="22"/>
                <w:szCs w:val="22"/>
                <w:lang w:eastAsia="ar-SA"/>
              </w:rPr>
              <w:t>От Заказчика</w:t>
            </w:r>
          </w:p>
          <w:p>
            <w:pPr>
              <w:pStyle w:val="Normal"/>
              <w:widowControl w:val="false"/>
              <w:suppressAutoHyphens w:val="true"/>
              <w:rPr>
                <w:sz w:val="22"/>
                <w:szCs w:val="22"/>
                <w:lang w:eastAsia="ar-SA"/>
              </w:rPr>
            </w:pPr>
            <w:r>
              <w:rPr>
                <w:sz w:val="22"/>
                <w:szCs w:val="22"/>
                <w:lang w:eastAsia="ar-SA"/>
              </w:rPr>
              <w:t>Главный врач</w:t>
            </w:r>
          </w:p>
          <w:p>
            <w:pPr>
              <w:pStyle w:val="Normal"/>
              <w:widowControl w:val="false"/>
              <w:suppressAutoHyphens w:val="true"/>
              <w:rPr>
                <w:sz w:val="22"/>
                <w:szCs w:val="22"/>
                <w:lang w:eastAsia="ar-SA"/>
              </w:rPr>
            </w:pPr>
            <w:r>
              <w:rPr>
                <w:sz w:val="22"/>
                <w:szCs w:val="22"/>
                <w:lang w:eastAsia="ar-SA"/>
              </w:rPr>
              <w:t>СПб ГБУЗ «Городская поликлиника №106»</w:t>
            </w:r>
          </w:p>
          <w:p>
            <w:pPr>
              <w:pStyle w:val="Normal"/>
              <w:widowControl w:val="false"/>
              <w:suppressAutoHyphens w:val="true"/>
              <w:rPr>
                <w:b/>
                <w:b/>
                <w:sz w:val="22"/>
                <w:szCs w:val="22"/>
                <w:lang w:eastAsia="ar-SA"/>
              </w:rPr>
            </w:pPr>
            <w:r>
              <w:rPr>
                <w:sz w:val="22"/>
                <w:szCs w:val="22"/>
                <w:lang w:eastAsia="ar-SA"/>
              </w:rPr>
              <w:t>В.Г. Кунин (ПОДПИСАНО ЭЦП)</w:t>
            </w:r>
          </w:p>
        </w:tc>
        <w:tc>
          <w:tcPr>
            <w:tcW w:w="4677" w:type="dxa"/>
            <w:tcBorders/>
          </w:tcPr>
          <w:p>
            <w:pPr>
              <w:pStyle w:val="Normal"/>
              <w:widowControl w:val="false"/>
              <w:suppressAutoHyphens w:val="true"/>
              <w:rPr>
                <w:b/>
                <w:b/>
                <w:sz w:val="22"/>
                <w:szCs w:val="22"/>
                <w:lang w:eastAsia="ar-SA"/>
              </w:rPr>
            </w:pPr>
            <w:r>
              <w:rPr>
                <w:b/>
                <w:sz w:val="22"/>
                <w:szCs w:val="22"/>
                <w:lang w:eastAsia="ar-SA"/>
              </w:rPr>
              <w:t>От Исполнителя</w:t>
            </w:r>
          </w:p>
          <w:p>
            <w:pPr>
              <w:pStyle w:val="Normal"/>
              <w:widowControl w:val="false"/>
              <w:suppressAutoHyphens w:val="true"/>
              <w:rPr>
                <w:sz w:val="22"/>
                <w:szCs w:val="22"/>
                <w:lang w:eastAsia="ar-SA"/>
              </w:rPr>
            </w:pPr>
            <w:r>
              <w:rPr>
                <w:sz w:val="22"/>
                <w:szCs w:val="22"/>
                <w:lang w:eastAsia="ar-SA"/>
              </w:rPr>
            </w:r>
          </w:p>
        </w:tc>
      </w:tr>
    </w:tbl>
    <w:p>
      <w:pPr>
        <w:pStyle w:val="Normal"/>
        <w:rPr>
          <w:b/>
          <w:b/>
        </w:rPr>
      </w:pPr>
      <w:r>
        <w:rPr>
          <w:b/>
        </w:rPr>
      </w:r>
    </w:p>
    <w:p>
      <w:pPr>
        <w:pStyle w:val="Normal"/>
        <w:spacing w:before="60" w:after="0"/>
        <w:jc w:val="right"/>
        <w:rPr>
          <w:b/>
          <w:b/>
        </w:rPr>
      </w:pPr>
      <w:r>
        <w:rPr>
          <w:b/>
        </w:rPr>
      </w:r>
    </w:p>
    <w:p>
      <w:pPr>
        <w:pStyle w:val="Normal"/>
        <w:rPr>
          <w:b/>
          <w:b/>
        </w:rPr>
      </w:pPr>
      <w:r>
        <w:rPr>
          <w:b/>
        </w:rPr>
      </w:r>
      <w:r>
        <w:br w:type="page"/>
      </w:r>
    </w:p>
    <w:p>
      <w:pPr>
        <w:pStyle w:val="Normal"/>
        <w:spacing w:before="60" w:after="0"/>
        <w:jc w:val="right"/>
        <w:rPr>
          <w:b/>
          <w:b/>
        </w:rPr>
      </w:pPr>
      <w:r>
        <w:rPr>
          <w:b/>
        </w:rPr>
        <w:t>Приложение № 2</w:t>
      </w:r>
    </w:p>
    <w:p>
      <w:pPr>
        <w:pStyle w:val="2"/>
        <w:ind w:right="-365" w:firstLine="567"/>
        <w:jc w:val="center"/>
        <w:rPr>
          <w:i/>
          <w:i/>
          <w:iCs/>
        </w:rPr>
      </w:pPr>
      <w:r>
        <w:rPr>
          <w:i/>
          <w:iCs/>
        </w:rPr>
      </w:r>
    </w:p>
    <w:p>
      <w:pPr>
        <w:pStyle w:val="Normal"/>
        <w:jc w:val="center"/>
        <w:rPr>
          <w:rFonts w:eastAsia="Batang"/>
          <w:b/>
          <w:b/>
          <w:lang w:eastAsia="en-US"/>
        </w:rPr>
      </w:pPr>
      <w:r>
        <w:rPr>
          <w:rFonts w:eastAsia="Batang"/>
          <w:b/>
          <w:bCs/>
        </w:rPr>
        <w:t>Техническое задание</w:t>
      </w:r>
    </w:p>
    <w:p>
      <w:pPr>
        <w:pStyle w:val="Normal"/>
        <w:ind w:firstLine="284"/>
        <w:jc w:val="both"/>
        <w:rPr>
          <w:rFonts w:eastAsia="Batang"/>
          <w:b/>
          <w:b/>
          <w:bCs/>
        </w:rPr>
      </w:pPr>
      <w:r>
        <w:rPr>
          <w:rFonts w:eastAsia="Batang"/>
          <w:b/>
          <w:bCs/>
        </w:rPr>
      </w:r>
    </w:p>
    <w:p>
      <w:pPr>
        <w:pStyle w:val="ListParagraph"/>
        <w:tabs>
          <w:tab w:val="clear" w:pos="708"/>
          <w:tab w:val="left" w:pos="993" w:leader="none"/>
        </w:tabs>
        <w:ind w:left="0" w:firstLine="709"/>
        <w:jc w:val="both"/>
        <w:rPr>
          <w:rFonts w:eastAsia="Batang"/>
          <w:bCs/>
        </w:rPr>
      </w:pPr>
      <w:r>
        <w:rPr>
          <w:rFonts w:eastAsia="Batang"/>
          <w:bCs/>
          <w:lang w:eastAsia="en-US"/>
        </w:rPr>
        <w:t>1.1. Наименование объекта закупки:</w:t>
      </w:r>
      <w:r>
        <w:rPr>
          <w:rFonts w:eastAsia="Batang"/>
          <w:b w:val="false"/>
          <w:bCs/>
          <w:szCs w:val="24"/>
          <w:lang w:eastAsia="en-US"/>
        </w:rPr>
        <w:t xml:space="preserve"> Оказание образовательных услуг по программе: «Организация антитеррористической защищенности медицинских учреждений» для нужд СПб ГБУЗ «Городская поликлиника № 106» в 2024 году</w:t>
      </w:r>
      <w:r>
        <w:rPr>
          <w:rFonts w:eastAsia="Batang"/>
          <w:b/>
          <w:bCs/>
          <w:szCs w:val="24"/>
          <w:lang w:eastAsia="en-US"/>
        </w:rPr>
        <w:t>.</w:t>
      </w:r>
    </w:p>
    <w:p>
      <w:pPr>
        <w:pStyle w:val="Normal"/>
        <w:tabs>
          <w:tab w:val="clear" w:pos="708"/>
          <w:tab w:val="left" w:pos="993" w:leader="none"/>
        </w:tabs>
        <w:ind w:firstLine="709"/>
        <w:jc w:val="both"/>
        <w:rPr>
          <w:rFonts w:eastAsia="Batang"/>
          <w:bCs/>
        </w:rPr>
      </w:pPr>
      <w:r>
        <w:rPr>
          <w:rFonts w:eastAsia="Batang"/>
          <w:bCs/>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85.42.19.900 - Услуги по профессиональному обучению прочие. (КПЕС 2008).</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shd w:fill="FFFFFF" w:val="clear"/>
        </w:rPr>
        <w:t xml:space="preserve"> </w:t>
      </w:r>
      <w:r>
        <w:rPr>
          <w:rFonts w:ascii="Times New Roman" w:hAnsi="Times New Roman"/>
          <w:b/>
          <w:sz w:val="24"/>
          <w:szCs w:val="24"/>
          <w:shd w:fill="FFFFFF" w:val="clear"/>
        </w:rPr>
        <w:t>Обучение осуществляется по соответствующим программам обучающей организацией согласованными с Мобилизационным управлением Администрации Губернатора Санкт-Петербурга</w:t>
      </w:r>
      <w:r>
        <w:rPr>
          <w:rFonts w:ascii="Times New Roman" w:hAnsi="Times New Roman"/>
          <w:sz w:val="24"/>
          <w:szCs w:val="24"/>
          <w:shd w:fill="FFFFFF" w:val="clear"/>
        </w:rPr>
        <w:t>.</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2. Исполнитель обязуется:</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сформировать учебные группы согласно списку заявителя;</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обучение проводить на русском языке;</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осуществить оказание образовательных услуг в количестве указанном Заказчиком по учебному плану образовательной программы, согласовав график обучения с Заказчиком;</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 по результатам обучения выдать каждому обученному удостоверение установленного образца с занесением в ФИС ФРДО.</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3. Исполнитель обязуется передать Заказчику оформленную в установленном порядке документацию:</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 xml:space="preserve">-акт сдачи - приемки в 2 (двух) экземплярах, в котором указывает полную информацию о фактических оказанных образовательных услугах; </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 надлежащим образом заверенные удостоверения установленного образца и протоколы заседания комиссии по проверке знаний.</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4.</w:t>
        <w:tab/>
        <w:t>Требования к гарантийному сроку работы и (или) объему предоставления гарантий ее качества: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w:t>
        <w:tab/>
        <w:t>Объем предоставления гарантий и качества выполняемых услуг - на все услуги, выполняемые в рамках контракта.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w:t>
        <w:tab/>
        <w:t>Исполнитель гарантирует надлежащее качество образовательного процесса.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5. Оказание образовательных услуг должно соответствовать учебному плану образовательной программы. Исполнитель имеет право привлекать для преподавания дисциплин, предусмотренных образовательной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учреждений.</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r>
    </w:p>
    <w:p>
      <w:pPr>
        <w:pStyle w:val="ConsNormal1"/>
        <w:tabs>
          <w:tab w:val="clear" w:pos="708"/>
          <w:tab w:val="left" w:pos="7380" w:leader="none"/>
        </w:tabs>
        <w:ind w:right="0" w:firstLine="284"/>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284"/>
        <w:jc w:val="both"/>
        <w:rPr>
          <w:rFonts w:ascii="Times New Roman" w:hAnsi="Times New Roman" w:cs="Times New Roman"/>
          <w:sz w:val="24"/>
          <w:szCs w:val="24"/>
        </w:rPr>
      </w:pPr>
      <w:r>
        <w:rPr>
          <w:rFonts w:cs="Times New Roman" w:ascii="Times New Roman" w:hAnsi="Times New Roman"/>
          <w:sz w:val="24"/>
          <w:szCs w:val="24"/>
        </w:rPr>
      </w:r>
    </w:p>
    <w:tbl>
      <w:tblPr>
        <w:tblW w:w="9356" w:type="dxa"/>
        <w:jc w:val="center"/>
        <w:tblInd w:w="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Normal"/>
              <w:widowControl w:val="false"/>
              <w:suppressAutoHyphens w:val="true"/>
              <w:rPr>
                <w:b/>
                <w:b/>
                <w:lang w:eastAsia="ar-SA"/>
              </w:rPr>
            </w:pPr>
            <w:r>
              <w:rPr>
                <w:b/>
                <w:lang w:eastAsia="ar-SA"/>
              </w:rPr>
              <w:t>От Заказчика</w:t>
            </w:r>
          </w:p>
          <w:p>
            <w:pPr>
              <w:pStyle w:val="Normal"/>
              <w:widowControl w:val="false"/>
              <w:suppressAutoHyphens w:val="true"/>
              <w:rPr>
                <w:lang w:eastAsia="ar-SA"/>
              </w:rPr>
            </w:pPr>
            <w:r>
              <w:rPr>
                <w:lang w:eastAsia="ar-SA"/>
              </w:rPr>
              <w:t>Главный врач</w:t>
            </w:r>
          </w:p>
          <w:p>
            <w:pPr>
              <w:pStyle w:val="Normal"/>
              <w:widowControl w:val="false"/>
              <w:suppressAutoHyphens w:val="true"/>
              <w:rPr>
                <w:lang w:eastAsia="ar-SA"/>
              </w:rPr>
            </w:pPr>
            <w:r>
              <w:rPr>
                <w:lang w:eastAsia="ar-SA"/>
              </w:rPr>
              <w:t>СПб ГБУЗ «Городская поликлиника №106»</w:t>
            </w:r>
          </w:p>
          <w:p>
            <w:pPr>
              <w:pStyle w:val="Normal"/>
              <w:widowControl w:val="false"/>
              <w:suppressAutoHyphens w:val="true"/>
              <w:rPr>
                <w:b/>
                <w:b/>
                <w:lang w:eastAsia="ar-SA"/>
              </w:rPr>
            </w:pPr>
            <w:r>
              <w:rPr>
                <w:lang w:eastAsia="ar-SA"/>
              </w:rPr>
              <w:t xml:space="preserve">В.Г. Кунин </w:t>
            </w:r>
            <w:r>
              <w:rPr>
                <w:sz w:val="22"/>
                <w:szCs w:val="22"/>
                <w:lang w:eastAsia="ar-SA"/>
              </w:rPr>
              <w:t>(ПОДПИСАНО ЭЦП)</w:t>
            </w:r>
          </w:p>
        </w:tc>
        <w:tc>
          <w:tcPr>
            <w:tcW w:w="4677" w:type="dxa"/>
            <w:tcBorders/>
          </w:tcPr>
          <w:p>
            <w:pPr>
              <w:pStyle w:val="Normal"/>
              <w:widowControl w:val="false"/>
              <w:suppressAutoHyphens w:val="true"/>
              <w:rPr>
                <w:b/>
                <w:b/>
                <w:lang w:eastAsia="ar-SA"/>
              </w:rPr>
            </w:pPr>
            <w:r>
              <w:rPr>
                <w:b/>
                <w:lang w:eastAsia="ar-SA"/>
              </w:rPr>
              <w:t>От Исполнителя</w:t>
            </w:r>
          </w:p>
          <w:p>
            <w:pPr>
              <w:pStyle w:val="Normal"/>
              <w:widowControl w:val="false"/>
              <w:suppressAutoHyphens w:val="true"/>
              <w:rPr>
                <w:sz w:val="22"/>
                <w:szCs w:val="22"/>
                <w:lang w:eastAsia="ar-SA"/>
              </w:rPr>
            </w:pPr>
            <w:r>
              <w:rPr>
                <w:sz w:val="22"/>
                <w:szCs w:val="22"/>
                <w:lang w:eastAsia="ar-SA"/>
              </w:rPr>
            </w:r>
          </w:p>
          <w:p>
            <w:pPr>
              <w:pStyle w:val="Normal"/>
              <w:widowControl w:val="false"/>
              <w:suppressAutoHyphens w:val="true"/>
              <w:rPr>
                <w:b/>
                <w:b/>
                <w:lang w:eastAsia="ar-SA"/>
              </w:rPr>
            </w:pPr>
            <w:r>
              <w:rPr>
                <w:b/>
                <w:lang w:eastAsia="ar-SA"/>
              </w:rPr>
            </w:r>
          </w:p>
        </w:tc>
      </w:tr>
    </w:tbl>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
    </w:p>
    <w:sectPr>
      <w:footerReference w:type="even" r:id="rId4"/>
      <w:footerReference w:type="default" r:id="rId5"/>
      <w:footerReference w:type="first" r:id="rId6"/>
      <w:type w:val="nextPage"/>
      <w:pgSz w:w="11906" w:h="16838"/>
      <w:pgMar w:left="1276" w:right="1133" w:gutter="0" w:header="0" w:top="993" w:footer="709" w:bottom="7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 w:name="Courier New">
    <w:charset w:val="cc"/>
    <w:family w:val="roman"/>
    <w:pitch w:val="variable"/>
  </w:font>
  <w:font w:name="MS Outlook">
    <w:charset w:val="cc"/>
    <w:family w:val="roman"/>
    <w:pitch w:val="variable"/>
  </w:font>
  <w:font w:name="Verdan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ind w:right="360" w:hanging="0"/>
      <w:rPr/>
    </w:pPr>
    <w:r>
      <w:rPr/>
      <mc:AlternateContent>
        <mc:Choice Requires="wps">
          <w:drawing>
            <wp:anchor behindDoc="1" distT="0" distB="0" distL="0" distR="0" simplePos="0" locked="0" layoutInCell="0" allowOverlap="1" relativeHeight="2">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Style32"/>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fillcolor="white" stroked="f" o:allowincell="f" style="position:absolute;margin-left:0pt;margin-top:0.05pt;width:1.1pt;height:1.1pt;mso-wrap-style:square;v-text-anchor:top;mso-position-horizontal:right;mso-position-horizontal-relative:margin">
              <v:fill o:detectmouseclick="t" type="solid" color2="black" opacity="0"/>
              <v:stroke color="#3465a4" joinstyle="round" endcap="flat"/>
              <v:textbox>
                <w:txbxContent>
                  <w:p>
                    <w:pPr>
                      <w:pStyle w:val="Style32"/>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tabs>
        <w:tab w:val="left" w:pos="4320" w:leader="none"/>
        <w:tab w:val="center" w:pos="4677" w:leader="none"/>
        <w:tab w:val="right" w:pos="9355" w:leader="none"/>
      </w:tabs>
      <w:ind w:right="360" w:hanging="0"/>
      <w:jc w:val="center"/>
      <w:rPr/>
    </w:pPr>
    <w:r>
      <w:rPr/>
      <mc:AlternateContent>
        <mc:Choice Requires="wps">
          <w:drawing>
            <wp:anchor behindDoc="1" distT="0" distB="0" distL="0" distR="0" simplePos="0" locked="0" layoutInCell="0" allowOverlap="1" relativeHeight="24">
              <wp:simplePos x="0" y="0"/>
              <wp:positionH relativeFrom="margin">
                <wp:align>right</wp:align>
              </wp:positionH>
              <wp:positionV relativeFrom="paragraph">
                <wp:posOffset>635</wp:posOffset>
              </wp:positionV>
              <wp:extent cx="140335" cy="159385"/>
              <wp:effectExtent l="0" t="0" r="0" b="0"/>
              <wp:wrapSquare wrapText="bothSides"/>
              <wp:docPr id="3" name="Врезка2"/>
              <a:graphic xmlns:a="http://schemas.openxmlformats.org/drawingml/2006/main">
                <a:graphicData uri="http://schemas.microsoft.com/office/word/2010/wordprocessingShape">
                  <wps:wsp>
                    <wps:cNvSpPr/>
                    <wps:spPr>
                      <a:xfrm>
                        <a:off x="0" y="0"/>
                        <a:ext cx="140400" cy="159480"/>
                      </a:xfrm>
                      <a:prstGeom prst="rect">
                        <a:avLst/>
                      </a:prstGeom>
                      <a:noFill/>
                      <a:ln w="0">
                        <a:noFill/>
                      </a:ln>
                    </wps:spPr>
                    <wps:style>
                      <a:lnRef idx="0"/>
                      <a:fillRef idx="0"/>
                      <a:effectRef idx="0"/>
                      <a:fontRef idx="minor"/>
                    </wps:style>
                    <wps:txbx>
                      <w:txbxContent>
                        <w:p>
                          <w:pPr>
                            <w:pStyle w:val="Style32"/>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fillcolor="white" stroked="f" o:allowincell="f" style="position:absolute;margin-left:463.7pt;margin-top:0.05pt;width:11pt;height:12.5pt;mso-wrap-style:square;v-text-anchor:top;mso-position-horizontal:right;mso-position-horizontal-relative:margin">
              <v:fill o:detectmouseclick="t" type="solid" color2="black" opacity="0"/>
              <v:stroke color="#3465a4" joinstyle="round" endcap="flat"/>
              <v:textbox>
                <w:txbxContent>
                  <w:p>
                    <w:pPr>
                      <w:pStyle w:val="Style32"/>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v:textbox>
              <w10:wrap type="squar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tabs>
        <w:tab w:val="left" w:pos="4320" w:leader="none"/>
        <w:tab w:val="center" w:pos="4677" w:leader="none"/>
        <w:tab w:val="right" w:pos="9355" w:leader="none"/>
      </w:tabs>
      <w:ind w:right="360" w:hanging="0"/>
      <w:jc w:val="center"/>
      <w:rPr/>
    </w:pPr>
    <w:r>
      <w:rPr/>
      <mc:AlternateContent>
        <mc:Choice Requires="wps">
          <w:drawing>
            <wp:anchor behindDoc="1" distT="0" distB="0" distL="0" distR="0" simplePos="0" locked="0" layoutInCell="0" allowOverlap="1" relativeHeight="24">
              <wp:simplePos x="0" y="0"/>
              <wp:positionH relativeFrom="margin">
                <wp:align>right</wp:align>
              </wp:positionH>
              <wp:positionV relativeFrom="paragraph">
                <wp:posOffset>635</wp:posOffset>
              </wp:positionV>
              <wp:extent cx="140335" cy="159385"/>
              <wp:effectExtent l="0" t="0" r="0" b="0"/>
              <wp:wrapSquare wrapText="bothSides"/>
              <wp:docPr id="5" name="Врезка2"/>
              <a:graphic xmlns:a="http://schemas.openxmlformats.org/drawingml/2006/main">
                <a:graphicData uri="http://schemas.microsoft.com/office/word/2010/wordprocessingShape">
                  <wps:wsp>
                    <wps:cNvSpPr/>
                    <wps:spPr>
                      <a:xfrm>
                        <a:off x="0" y="0"/>
                        <a:ext cx="140400" cy="159480"/>
                      </a:xfrm>
                      <a:prstGeom prst="rect">
                        <a:avLst/>
                      </a:prstGeom>
                      <a:noFill/>
                      <a:ln w="0">
                        <a:noFill/>
                      </a:ln>
                    </wps:spPr>
                    <wps:style>
                      <a:lnRef idx="0"/>
                      <a:fillRef idx="0"/>
                      <a:effectRef idx="0"/>
                      <a:fontRef idx="minor"/>
                    </wps:style>
                    <wps:txbx>
                      <w:txbxContent>
                        <w:p>
                          <w:pPr>
                            <w:pStyle w:val="Style32"/>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fillcolor="white" stroked="f" o:allowincell="f" style="position:absolute;margin-left:463.7pt;margin-top:0.05pt;width:11pt;height:12.5pt;mso-wrap-style:square;v-text-anchor:top;mso-position-horizontal:right;mso-position-horizontal-relative:margin">
              <v:fill o:detectmouseclick="t" type="solid" color2="black" opacity="0"/>
              <v:stroke color="#3465a4" joinstyle="round" endcap="flat"/>
              <v:textbox>
                <w:txbxContent>
                  <w:p>
                    <w:pPr>
                      <w:pStyle w:val="Style32"/>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32"/>
        </w:tabs>
        <w:ind w:left="432" w:hanging="432"/>
      </w:pPr>
      <w:rPr/>
    </w:lvl>
    <w:lvl w:ilvl="1">
      <w:start w:val="1"/>
      <w:numFmt w:val="decimal"/>
      <w:lvlText w:val="%1.%2"/>
      <w:lvlJc w:val="left"/>
      <w:pPr>
        <w:tabs>
          <w:tab w:val="num" w:pos="1836"/>
        </w:tabs>
        <w:ind w:left="1836" w:hanging="576"/>
      </w:pPr>
      <w:rPr/>
    </w:lvl>
    <w:lvl w:ilvl="2">
      <w:start w:val="1"/>
      <w:numFmt w:val="decimal"/>
      <w:lvlText w:val="%1.%2.%3"/>
      <w:lvlJc w:val="left"/>
      <w:pPr>
        <w:tabs>
          <w:tab w:val="num" w:pos="1307"/>
        </w:tabs>
        <w:ind w:left="1080" w:hanging="0"/>
      </w:pPr>
      <w:rPr/>
    </w:lvl>
    <w:lvl w:ilvl="3">
      <w:start w:val="1"/>
      <w:numFmt w:val="decimal"/>
      <w:lvlText w:val="%1.%2.%3.%4"/>
      <w:lvlJc w:val="left"/>
      <w:pPr>
        <w:tabs>
          <w:tab w:val="num" w:pos="864"/>
        </w:tabs>
        <w:ind w:left="864" w:hanging="864"/>
      </w:pPr>
      <w:rPr/>
    </w:lvl>
    <w:lvl w:ilvl="4">
      <w:start w:val="1"/>
      <w:numFmt w:val="decimal"/>
      <w:lvlText w:val="%1.%2.%3.%4.%5"/>
      <w:lvlJc w:val="left"/>
      <w:pPr>
        <w:tabs>
          <w:tab w:val="num" w:pos="1008"/>
        </w:tabs>
        <w:ind w:left="1008" w:hanging="1008"/>
      </w:pPr>
      <w:rPr/>
    </w:lvl>
    <w:lvl w:ilvl="5">
      <w:start w:val="1"/>
      <w:numFmt w:val="decimal"/>
      <w:lvlText w:val="%1.%2.%3.%4.%5.%6"/>
      <w:lvlJc w:val="left"/>
      <w:pPr>
        <w:tabs>
          <w:tab w:val="num" w:pos="1152"/>
        </w:tabs>
        <w:ind w:left="1152" w:hanging="1152"/>
      </w:pPr>
      <w:rPr/>
    </w:lvl>
    <w:lvl w:ilvl="6">
      <w:start w:val="1"/>
      <w:numFmt w:val="decimal"/>
      <w:lvlText w:val="%1.%2.%3.%4.%5.%6.%7"/>
      <w:lvlJc w:val="left"/>
      <w:pPr>
        <w:tabs>
          <w:tab w:val="num" w:pos="1296"/>
        </w:tabs>
        <w:ind w:left="1296" w:hanging="1296"/>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584"/>
        </w:tabs>
        <w:ind w:left="1584" w:hanging="1584"/>
      </w:pPr>
      <w:rPr/>
    </w:lvl>
  </w:abstractNum>
  <w:abstractNum w:abstractNumId="2">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embedSystemFonts/>
  <w:defaultTabStop w:val="708"/>
  <w:autoHyphenation w:val="true"/>
  <w:doNotHyphenateCaps/>
  <w:hyphenationZone w:val="357"/>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99"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43398"/>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qFormat/>
    <w:rsid w:val="00fe03e8"/>
    <w:pPr>
      <w:keepNext w:val="true"/>
      <w:ind w:right="-365" w:hanging="0"/>
      <w:jc w:val="center"/>
      <w:outlineLvl w:val="0"/>
    </w:pPr>
    <w:rPr>
      <w:b/>
      <w:bCs/>
    </w:rPr>
  </w:style>
  <w:style w:type="paragraph" w:styleId="2">
    <w:name w:val="Heading 2"/>
    <w:basedOn w:val="Normal"/>
    <w:next w:val="Normal"/>
    <w:qFormat/>
    <w:rsid w:val="00fe03e8"/>
    <w:pPr>
      <w:keepNext w:val="true"/>
      <w:ind w:right="-365" w:hanging="0"/>
      <w:outlineLvl w:val="1"/>
    </w:pPr>
    <w:rPr>
      <w:b/>
      <w:bCs/>
    </w:rPr>
  </w:style>
  <w:style w:type="paragraph" w:styleId="3">
    <w:name w:val="Heading 3"/>
    <w:basedOn w:val="Normal"/>
    <w:next w:val="Normal"/>
    <w:link w:val="32"/>
    <w:unhideWhenUsed/>
    <w:qFormat/>
    <w:rsid w:val="0005518f"/>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rPr>
  </w:style>
  <w:style w:type="paragraph" w:styleId="7">
    <w:name w:val="Heading 7"/>
    <w:basedOn w:val="Normal"/>
    <w:next w:val="Normal"/>
    <w:qFormat/>
    <w:rsid w:val="00e635f3"/>
    <w:pPr>
      <w:widowControl w:val="false"/>
      <w:spacing w:before="240" w:after="60"/>
      <w:outlineLvl w:val="6"/>
    </w:pPr>
    <w:rPr/>
  </w:style>
  <w:style w:type="character" w:styleId="DefaultParagraphFont" w:default="1">
    <w:name w:val="Default Paragraph Font"/>
    <w:uiPriority w:val="1"/>
    <w:semiHidden/>
    <w:unhideWhenUsed/>
    <w:qFormat/>
    <w:rPr/>
  </w:style>
  <w:style w:type="character" w:styleId="Style10" w:customStyle="1">
    <w:name w:val="Hyperlink"/>
    <w:rsid w:val="00216a0e"/>
    <w:rPr>
      <w:rFonts w:cs="Times New Roman"/>
      <w:color w:val="0000FF"/>
      <w:u w:val="single"/>
    </w:rPr>
  </w:style>
  <w:style w:type="character" w:styleId="Pagenumber">
    <w:name w:val="page number"/>
    <w:basedOn w:val="DefaultParagraphFont"/>
    <w:qFormat/>
    <w:rsid w:val="00e004c8"/>
    <w:rPr/>
  </w:style>
  <w:style w:type="character" w:styleId="11" w:customStyle="1">
    <w:name w:val="Заголовок 1 Знак1"/>
    <w:qFormat/>
    <w:rsid w:val="00e004c8"/>
    <w:rPr>
      <w:rFonts w:ascii="Arial" w:hAnsi="Arial" w:cs="Arial"/>
      <w:b/>
      <w:sz w:val="28"/>
      <w:szCs w:val="18"/>
      <w:lang w:val="ru-RU" w:eastAsia="ru-RU" w:bidi="ar-SA"/>
    </w:rPr>
  </w:style>
  <w:style w:type="character" w:styleId="Style11">
    <w:name w:val="Footnote Reference"/>
    <w:rPr>
      <w:vertAlign w:val="superscript"/>
    </w:rPr>
  </w:style>
  <w:style w:type="character" w:styleId="FootnoteCharacters">
    <w:name w:val="Footnote Characters"/>
    <w:qFormat/>
    <w:rsid w:val="000b2b31"/>
    <w:rPr>
      <w:vertAlign w:val="superscript"/>
    </w:rPr>
  </w:style>
  <w:style w:type="character" w:styleId="Iceouttxt" w:customStyle="1">
    <w:name w:val="iceouttxt"/>
    <w:basedOn w:val="DefaultParagraphFont"/>
    <w:qFormat/>
    <w:rsid w:val="00153130"/>
    <w:rPr/>
  </w:style>
  <w:style w:type="character" w:styleId="ConsNormal" w:customStyle="1">
    <w:name w:val="ConsNormal Знак"/>
    <w:link w:val="ConsNormal1"/>
    <w:qFormat/>
    <w:rsid w:val="001d6473"/>
    <w:rPr>
      <w:rFonts w:ascii="Arial" w:hAnsi="Arial" w:cs="Arial"/>
      <w:sz w:val="22"/>
      <w:szCs w:val="22"/>
      <w:lang w:val="ru-RU" w:eastAsia="ru-RU" w:bidi="ar-SA"/>
    </w:rPr>
  </w:style>
  <w:style w:type="character" w:styleId="Style12" w:customStyle="1">
    <w:name w:val="Основной текст Знак"/>
    <w:qFormat/>
    <w:rsid w:val="00e635f3"/>
    <w:rPr>
      <w:sz w:val="24"/>
      <w:szCs w:val="24"/>
      <w:lang w:val="ru-RU" w:eastAsia="ru-RU" w:bidi="ar-SA"/>
    </w:rPr>
  </w:style>
  <w:style w:type="character" w:styleId="12" w:customStyle="1">
    <w:name w:val="Знак Знак1"/>
    <w:qFormat/>
    <w:rsid w:val="00e635f3"/>
    <w:rPr>
      <w:rFonts w:ascii="Arial" w:hAnsi="Arial" w:cs="Arial"/>
      <w:sz w:val="18"/>
      <w:szCs w:val="18"/>
    </w:rPr>
  </w:style>
  <w:style w:type="character" w:styleId="13" w:customStyle="1">
    <w:name w:val="Основной текст Знак1 Знак"/>
    <w:qFormat/>
    <w:rsid w:val="00fc2636"/>
    <w:rPr>
      <w:rFonts w:ascii="Arial" w:hAnsi="Arial" w:cs="Arial"/>
      <w:sz w:val="18"/>
      <w:szCs w:val="18"/>
    </w:rPr>
  </w:style>
  <w:style w:type="character" w:styleId="Style13" w:customStyle="1">
    <w:name w:val="Текст выноски Знак"/>
    <w:link w:val="BalloonText"/>
    <w:qFormat/>
    <w:rsid w:val="00d46774"/>
    <w:rPr>
      <w:rFonts w:ascii="Tahoma" w:hAnsi="Tahoma" w:cs="Tahoma"/>
      <w:sz w:val="16"/>
      <w:szCs w:val="16"/>
    </w:rPr>
  </w:style>
  <w:style w:type="character" w:styleId="Annotationreference">
    <w:name w:val="annotation reference"/>
    <w:qFormat/>
    <w:rsid w:val="00682d8b"/>
    <w:rPr>
      <w:sz w:val="16"/>
      <w:szCs w:val="16"/>
    </w:rPr>
  </w:style>
  <w:style w:type="character" w:styleId="Style14" w:customStyle="1">
    <w:name w:val="Текст примечания Знак"/>
    <w:basedOn w:val="DefaultParagraphFont"/>
    <w:link w:val="Annotationtext"/>
    <w:qFormat/>
    <w:rsid w:val="00682d8b"/>
    <w:rPr/>
  </w:style>
  <w:style w:type="character" w:styleId="Style15" w:customStyle="1">
    <w:name w:val="Тема примечания Знак"/>
    <w:link w:val="Annotationsubject"/>
    <w:qFormat/>
    <w:rsid w:val="00682d8b"/>
    <w:rPr>
      <w:b/>
      <w:bCs/>
    </w:rPr>
  </w:style>
  <w:style w:type="character" w:styleId="Style16" w:customStyle="1">
    <w:name w:val="Текст ТД Знак"/>
    <w:link w:val="Style37"/>
    <w:qFormat/>
    <w:rsid w:val="004d2199"/>
    <w:rPr>
      <w:rFonts w:eastAsia="Calibri"/>
      <w:sz w:val="24"/>
      <w:szCs w:val="24"/>
      <w:lang w:eastAsia="en-US"/>
    </w:rPr>
  </w:style>
  <w:style w:type="character" w:styleId="31" w:customStyle="1">
    <w:name w:val="Основной текст 3 Знак"/>
    <w:link w:val="BodyText3"/>
    <w:qFormat/>
    <w:rsid w:val="004d2199"/>
    <w:rPr>
      <w:sz w:val="16"/>
      <w:szCs w:val="16"/>
    </w:rPr>
  </w:style>
  <w:style w:type="character" w:styleId="Style17" w:customStyle="1">
    <w:name w:val="Текст сноски Знак"/>
    <w:qFormat/>
    <w:rsid w:val="000769c7"/>
    <w:rPr/>
  </w:style>
  <w:style w:type="character" w:styleId="U" w:customStyle="1">
    <w:name w:val="u"/>
    <w:qFormat/>
    <w:rsid w:val="00ee1742"/>
    <w:rPr/>
  </w:style>
  <w:style w:type="character" w:styleId="Style18" w:customStyle="1">
    <w:name w:val="Основной текст с отступом Знак"/>
    <w:qFormat/>
    <w:rsid w:val="00df5795"/>
    <w:rPr>
      <w:rFonts w:ascii="Arial" w:hAnsi="Arial" w:cs="Arial"/>
      <w:sz w:val="18"/>
      <w:szCs w:val="18"/>
    </w:rPr>
  </w:style>
  <w:style w:type="character" w:styleId="Style19" w:customStyle="1">
    <w:name w:val="Название Знак"/>
    <w:qFormat/>
    <w:rsid w:val="00f6604e"/>
    <w:rPr>
      <w:b/>
      <w:sz w:val="24"/>
    </w:rPr>
  </w:style>
  <w:style w:type="character" w:styleId="ConsPlusNormal" w:customStyle="1">
    <w:name w:val="ConsPlusNormal Знак"/>
    <w:link w:val="ConsPlusNormal1"/>
    <w:qFormat/>
    <w:rsid w:val="001577c2"/>
    <w:rPr>
      <w:rFonts w:ascii="Arial" w:hAnsi="Arial" w:cs="Arial"/>
      <w:lang w:val="ru-RU" w:eastAsia="ru-RU" w:bidi="ar-SA"/>
    </w:rPr>
  </w:style>
  <w:style w:type="character" w:styleId="Style20" w:customStyle="1">
    <w:name w:val="Абзац списка Знак"/>
    <w:link w:val="ListParagraph"/>
    <w:uiPriority w:val="34"/>
    <w:qFormat/>
    <w:locked/>
    <w:rsid w:val="00c94a1d"/>
    <w:rPr>
      <w:sz w:val="24"/>
      <w:szCs w:val="24"/>
    </w:rPr>
  </w:style>
  <w:style w:type="character" w:styleId="Style21" w:customStyle="1">
    <w:name w:val="Без интервала Знак"/>
    <w:link w:val="NoSpacing"/>
    <w:uiPriority w:val="99"/>
    <w:qFormat/>
    <w:locked/>
    <w:rsid w:val="00ba0d19"/>
    <w:rPr>
      <w:rFonts w:ascii="Calibri" w:hAnsi="Calibri"/>
      <w:sz w:val="22"/>
      <w:szCs w:val="22"/>
      <w:lang w:eastAsia="en-US" w:bidi="ar-SA"/>
    </w:rPr>
  </w:style>
  <w:style w:type="character" w:styleId="32" w:customStyle="1">
    <w:name w:val="Заголовок 3 Знак"/>
    <w:basedOn w:val="DefaultParagraphFont"/>
    <w:qFormat/>
    <w:rsid w:val="0005518f"/>
    <w:rPr>
      <w:rFonts w:ascii="Cambria" w:hAnsi="Cambria" w:eastAsia="" w:cs="" w:asciiTheme="majorHAnsi" w:cstheme="majorBidi" w:eastAsiaTheme="majorEastAsia" w:hAnsiTheme="majorHAnsi"/>
      <w:color w:val="243F60" w:themeColor="accent1" w:themeShade="7f"/>
      <w:sz w:val="24"/>
      <w:szCs w:val="24"/>
    </w:rPr>
  </w:style>
  <w:style w:type="character" w:styleId="Style22" w:customStyle="1">
    <w:name w:val="Нижний колонтитул Знак"/>
    <w:basedOn w:val="DefaultParagraphFont"/>
    <w:uiPriority w:val="99"/>
    <w:qFormat/>
    <w:rsid w:val="00fb4a18"/>
    <w:rPr>
      <w:rFonts w:ascii="Arial" w:hAnsi="Arial" w:cs="Arial"/>
      <w:sz w:val="18"/>
      <w:szCs w:val="18"/>
    </w:rPr>
  </w:style>
  <w:style w:type="character" w:styleId="Style61" w:customStyle="1">
    <w:name w:val="Style6 Знак"/>
    <w:uiPriority w:val="99"/>
    <w:qFormat/>
    <w:rsid w:val="00216a0e"/>
    <w:rPr>
      <w:rFonts w:ascii="Times New Roman" w:hAnsi="Times New Roman" w:eastAsia="Times New Roman" w:cs="Times New Roman"/>
      <w:sz w:val="24"/>
      <w:szCs w:val="24"/>
    </w:rPr>
  </w:style>
  <w:style w:type="paragraph" w:styleId="Style23" w:customStyle="1">
    <w:name w:val="Заголовок"/>
    <w:next w:val="Style24"/>
    <w:qFormat/>
    <w:rsid w:val="00521bd1"/>
    <w:pPr>
      <w:widowControl/>
      <w:suppressAutoHyphens w:val="true"/>
      <w:bidi w:val="0"/>
      <w:spacing w:before="0" w:after="0"/>
      <w:jc w:val="left"/>
    </w:pPr>
    <w:rPr>
      <w:rFonts w:ascii="Arial" w:hAnsi="Arial" w:eastAsia="Times New Roman" w:cs="Arial"/>
      <w:b/>
      <w:bCs/>
      <w:color w:val="auto"/>
      <w:kern w:val="0"/>
      <w:sz w:val="22"/>
      <w:szCs w:val="22"/>
      <w:lang w:val="ru-RU" w:eastAsia="ru-RU" w:bidi="ar-SA"/>
    </w:rPr>
  </w:style>
  <w:style w:type="paragraph" w:styleId="Style24">
    <w:name w:val="Body Text"/>
    <w:basedOn w:val="Normal"/>
    <w:link w:val="Style12"/>
    <w:rsid w:val="00bb42c1"/>
    <w:pPr>
      <w:spacing w:before="0" w:after="120"/>
    </w:pPr>
    <w:rPr/>
  </w:style>
  <w:style w:type="paragraph" w:styleId="Style25">
    <w:name w:val="List"/>
    <w:basedOn w:val="Style24"/>
    <w:pPr/>
    <w:rPr>
      <w:rFonts w:cs="Arial Unicode MS"/>
    </w:rPr>
  </w:style>
  <w:style w:type="paragraph" w:styleId="Style26">
    <w:name w:val="Caption"/>
    <w:basedOn w:val="Normal"/>
    <w:qFormat/>
    <w:pPr>
      <w:suppressLineNumbers/>
      <w:spacing w:before="120" w:after="120"/>
    </w:pPr>
    <w:rPr>
      <w:rFonts w:cs="Arial Unicode MS"/>
      <w:i/>
      <w:iCs/>
      <w:sz w:val="24"/>
      <w:szCs w:val="24"/>
    </w:rPr>
  </w:style>
  <w:style w:type="paragraph" w:styleId="Style27">
    <w:name w:val="Указатель"/>
    <w:basedOn w:val="Normal"/>
    <w:qFormat/>
    <w:pPr>
      <w:suppressLineNumbers/>
    </w:pPr>
    <w:rPr>
      <w:rFonts w:cs="Arial Unicode MS"/>
      <w:lang w:val="zxx" w:eastAsia="zxx" w:bidi="zxx"/>
    </w:rPr>
  </w:style>
  <w:style w:type="paragraph" w:styleId="BlockText">
    <w:name w:val="Block Text"/>
    <w:basedOn w:val="Normal"/>
    <w:qFormat/>
    <w:rsid w:val="00191d68"/>
    <w:pPr>
      <w:ind w:left="-1080" w:right="-365" w:hanging="0"/>
    </w:pPr>
    <w:rPr/>
  </w:style>
  <w:style w:type="paragraph" w:styleId="ConsNonformat" w:customStyle="1">
    <w:name w:val="ConsNonformat"/>
    <w:qFormat/>
    <w:rsid w:val="002f305a"/>
    <w:pPr>
      <w:widowControl w:val="false"/>
      <w:suppressAutoHyphens w:val="true"/>
      <w:bidi w:val="0"/>
      <w:spacing w:before="0" w:after="0"/>
      <w:ind w:right="19772" w:hanging="0"/>
      <w:jc w:val="left"/>
    </w:pPr>
    <w:rPr>
      <w:rFonts w:ascii="Courier New" w:hAnsi="Courier New" w:eastAsia="Times New Roman" w:cs="Courier New"/>
      <w:color w:val="auto"/>
      <w:kern w:val="0"/>
      <w:sz w:val="20"/>
      <w:szCs w:val="20"/>
      <w:lang w:val="ru-RU" w:eastAsia="ru-RU" w:bidi="ar-SA"/>
    </w:rPr>
  </w:style>
  <w:style w:type="paragraph" w:styleId="ConsNormal1" w:customStyle="1">
    <w:name w:val="ConsNormal"/>
    <w:link w:val="ConsNormal"/>
    <w:qFormat/>
    <w:rsid w:val="000b7c22"/>
    <w:pPr>
      <w:widowControl w:val="false"/>
      <w:suppressAutoHyphens w:val="true"/>
      <w:bidi w:val="0"/>
      <w:spacing w:before="0" w:after="0"/>
      <w:ind w:right="19772" w:firstLine="720"/>
      <w:jc w:val="left"/>
    </w:pPr>
    <w:rPr>
      <w:rFonts w:ascii="Arial" w:hAnsi="Arial" w:eastAsia="Times New Roman" w:cs="Arial"/>
      <w:color w:val="auto"/>
      <w:kern w:val="0"/>
      <w:sz w:val="22"/>
      <w:szCs w:val="22"/>
      <w:lang w:val="ru-RU" w:eastAsia="ru-RU" w:bidi="ar-SA"/>
    </w:rPr>
  </w:style>
  <w:style w:type="paragraph" w:styleId="BodyText2">
    <w:name w:val="Body Text 2"/>
    <w:basedOn w:val="Normal"/>
    <w:qFormat/>
    <w:rsid w:val="006340d7"/>
    <w:pPr>
      <w:widowControl w:val="false"/>
      <w:spacing w:lineRule="auto" w:line="480" w:before="0" w:after="120"/>
    </w:pPr>
    <w:rPr>
      <w:rFonts w:ascii="Arial" w:hAnsi="Arial" w:cs="Arial"/>
      <w:sz w:val="18"/>
      <w:szCs w:val="18"/>
    </w:rPr>
  </w:style>
  <w:style w:type="paragraph" w:styleId="BodyText3">
    <w:name w:val="Body Text 3"/>
    <w:basedOn w:val="Normal"/>
    <w:link w:val="31"/>
    <w:qFormat/>
    <w:rsid w:val="008a741b"/>
    <w:pPr>
      <w:spacing w:before="0" w:after="120"/>
    </w:pPr>
    <w:rPr>
      <w:sz w:val="16"/>
      <w:szCs w:val="16"/>
    </w:rPr>
  </w:style>
  <w:style w:type="paragraph" w:styleId="ConsPlusNormal1" w:customStyle="1">
    <w:name w:val="ConsPlusNormal"/>
    <w:link w:val="ConsPlusNormal"/>
    <w:qFormat/>
    <w:rsid w:val="005c7c84"/>
    <w:pPr>
      <w:widowControl/>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Char" w:customStyle="1">
    <w:name w:val="Char Знак Знак"/>
    <w:basedOn w:val="Normal"/>
    <w:qFormat/>
    <w:rsid w:val="009759bb"/>
    <w:pPr>
      <w:widowControl w:val="false"/>
      <w:spacing w:lineRule="exact" w:line="240" w:before="0" w:after="160"/>
      <w:jc w:val="right"/>
    </w:pPr>
    <w:rPr>
      <w:sz w:val="20"/>
      <w:szCs w:val="20"/>
      <w:lang w:val="en-GB" w:eastAsia="en-US"/>
    </w:rPr>
  </w:style>
  <w:style w:type="paragraph" w:styleId="Style28">
    <w:name w:val="Footnote Text"/>
    <w:basedOn w:val="Normal"/>
    <w:link w:val="Style17"/>
    <w:qFormat/>
    <w:rsid w:val="00e004c8"/>
    <w:pPr/>
    <w:rPr>
      <w:sz w:val="20"/>
      <w:szCs w:val="20"/>
    </w:rPr>
  </w:style>
  <w:style w:type="paragraph" w:styleId="Style29">
    <w:name w:val="Body Text Indent"/>
    <w:basedOn w:val="Normal"/>
    <w:link w:val="Style18"/>
    <w:qFormat/>
    <w:rsid w:val="00e004c8"/>
    <w:pPr>
      <w:widowControl w:val="false"/>
      <w:spacing w:before="0" w:after="120"/>
      <w:ind w:left="283" w:hanging="0"/>
    </w:pPr>
    <w:rPr>
      <w:rFonts w:ascii="Arial" w:hAnsi="Arial"/>
      <w:sz w:val="18"/>
      <w:szCs w:val="18"/>
    </w:rPr>
  </w:style>
  <w:style w:type="paragraph" w:styleId="14" w:customStyle="1">
    <w:name w:val="Стиль1"/>
    <w:basedOn w:val="Normal"/>
    <w:qFormat/>
    <w:rsid w:val="00e004c8"/>
    <w:pPr>
      <w:keepNext w:val="true"/>
      <w:keepLines/>
      <w:widowControl w:val="false"/>
      <w:numPr>
        <w:ilvl w:val="0"/>
        <w:numId w:val="1"/>
      </w:numPr>
      <w:suppressLineNumbers/>
      <w:suppressAutoHyphens w:val="true"/>
      <w:spacing w:before="0" w:after="60"/>
    </w:pPr>
    <w:rPr>
      <w:b/>
      <w:sz w:val="28"/>
    </w:rPr>
  </w:style>
  <w:style w:type="paragraph" w:styleId="21" w:customStyle="1">
    <w:name w:val="Стиль2"/>
    <w:basedOn w:val="ListNumber2"/>
    <w:qFormat/>
    <w:rsid w:val="00e004c8"/>
    <w:pPr>
      <w:keepNext w:val="true"/>
      <w:keepLines/>
      <w:numPr>
        <w:ilvl w:val="1"/>
        <w:numId w:val="1"/>
      </w:numPr>
      <w:suppressLineNumbers/>
      <w:suppressAutoHyphens w:val="true"/>
      <w:spacing w:before="0" w:after="60"/>
      <w:jc w:val="both"/>
    </w:pPr>
    <w:rPr>
      <w:rFonts w:ascii="Times New Roman" w:hAnsi="Times New Roman" w:cs="Times New Roman"/>
      <w:b/>
      <w:sz w:val="24"/>
      <w:szCs w:val="20"/>
    </w:rPr>
  </w:style>
  <w:style w:type="paragraph" w:styleId="33" w:customStyle="1">
    <w:name w:val="Стиль3"/>
    <w:basedOn w:val="BodyTextIndent2"/>
    <w:qFormat/>
    <w:rsid w:val="00e004c8"/>
    <w:pPr>
      <w:widowControl w:val="false"/>
      <w:numPr>
        <w:ilvl w:val="2"/>
        <w:numId w:val="1"/>
      </w:numPr>
      <w:spacing w:lineRule="auto" w:line="240" w:before="0" w:after="0"/>
      <w:jc w:val="both"/>
      <w:textAlignment w:val="baseline"/>
    </w:pPr>
    <w:rPr>
      <w:szCs w:val="20"/>
    </w:rPr>
  </w:style>
  <w:style w:type="paragraph" w:styleId="ListNumber2">
    <w:name w:val="List Number 2"/>
    <w:basedOn w:val="Normal"/>
    <w:qFormat/>
    <w:rsid w:val="00e004c8"/>
    <w:pPr>
      <w:widowControl w:val="false"/>
      <w:tabs>
        <w:tab w:val="clear" w:pos="708"/>
        <w:tab w:val="left" w:pos="-720" w:leader="none"/>
      </w:tabs>
      <w:ind w:left="-720" w:hanging="360"/>
    </w:pPr>
    <w:rPr>
      <w:rFonts w:ascii="Arial" w:hAnsi="Arial" w:cs="Arial"/>
      <w:sz w:val="18"/>
      <w:szCs w:val="18"/>
    </w:rPr>
  </w:style>
  <w:style w:type="paragraph" w:styleId="NormalWeb">
    <w:name w:val="Normal (Web)"/>
    <w:basedOn w:val="Normal"/>
    <w:qFormat/>
    <w:rsid w:val="00e004c8"/>
    <w:pPr>
      <w:keepNext w:val="true"/>
    </w:pPr>
    <w:rPr/>
  </w:style>
  <w:style w:type="paragraph" w:styleId="Style30">
    <w:name w:val="Title"/>
    <w:basedOn w:val="Normal"/>
    <w:link w:val="Style19"/>
    <w:qFormat/>
    <w:rsid w:val="00e004c8"/>
    <w:pPr>
      <w:widowControl w:val="false"/>
      <w:ind w:firstLine="420"/>
      <w:jc w:val="center"/>
    </w:pPr>
    <w:rPr>
      <w:b/>
      <w:szCs w:val="20"/>
    </w:rPr>
  </w:style>
  <w:style w:type="paragraph" w:styleId="Style31">
    <w:name w:val="Колонтитул"/>
    <w:basedOn w:val="Normal"/>
    <w:qFormat/>
    <w:pPr/>
    <w:rPr/>
  </w:style>
  <w:style w:type="paragraph" w:styleId="Style32">
    <w:name w:val="Footer"/>
    <w:basedOn w:val="Normal"/>
    <w:link w:val="Style22"/>
    <w:uiPriority w:val="99"/>
    <w:rsid w:val="00e004c8"/>
    <w:pPr>
      <w:widowControl w:val="false"/>
      <w:tabs>
        <w:tab w:val="clear" w:pos="708"/>
        <w:tab w:val="center" w:pos="4677" w:leader="none"/>
        <w:tab w:val="right" w:pos="9355" w:leader="none"/>
      </w:tabs>
    </w:pPr>
    <w:rPr>
      <w:rFonts w:ascii="Arial" w:hAnsi="Arial" w:cs="Arial"/>
      <w:sz w:val="18"/>
      <w:szCs w:val="18"/>
    </w:rPr>
  </w:style>
  <w:style w:type="paragraph" w:styleId="22" w:customStyle="1">
    <w:name w:val="заголовок 2"/>
    <w:basedOn w:val="Normal"/>
    <w:next w:val="Normal"/>
    <w:qFormat/>
    <w:rsid w:val="00e004c8"/>
    <w:pPr>
      <w:spacing w:before="240" w:after="60"/>
      <w:jc w:val="center"/>
    </w:pPr>
    <w:rPr>
      <w:rFonts w:ascii="MS Outlook" w:hAnsi="MS Outlook" w:eastAsia="MS Outlook"/>
      <w:b/>
      <w:szCs w:val="20"/>
      <w:lang w:val="en-US"/>
    </w:rPr>
  </w:style>
  <w:style w:type="paragraph" w:styleId="BodyTextIndent2">
    <w:name w:val="Body Text Indent 2"/>
    <w:basedOn w:val="Normal"/>
    <w:qFormat/>
    <w:rsid w:val="00e004c8"/>
    <w:pPr>
      <w:spacing w:lineRule="auto" w:line="480" w:before="0" w:after="120"/>
      <w:ind w:left="283" w:hanging="0"/>
    </w:pPr>
    <w:rPr/>
  </w:style>
  <w:style w:type="paragraph" w:styleId="15" w:customStyle="1">
    <w:name w:val="Знак1"/>
    <w:basedOn w:val="Normal"/>
    <w:qFormat/>
    <w:rsid w:val="003b13c7"/>
    <w:pPr>
      <w:widowControl w:val="false"/>
      <w:spacing w:lineRule="exact" w:line="240" w:before="0" w:after="160"/>
      <w:jc w:val="right"/>
    </w:pPr>
    <w:rPr>
      <w:rFonts w:ascii="Arial" w:hAnsi="Arial" w:cs="Arial"/>
      <w:sz w:val="20"/>
      <w:szCs w:val="20"/>
      <w:lang w:val="en-GB" w:eastAsia="en-US"/>
    </w:rPr>
  </w:style>
  <w:style w:type="paragraph" w:styleId="Style33" w:customStyle="1">
    <w:name w:val="Знак"/>
    <w:basedOn w:val="Normal"/>
    <w:qFormat/>
    <w:rsid w:val="009910c5"/>
    <w:pPr>
      <w:widowControl w:val="false"/>
      <w:spacing w:lineRule="exact" w:line="240" w:before="0" w:after="160"/>
      <w:jc w:val="right"/>
    </w:pPr>
    <w:rPr>
      <w:sz w:val="20"/>
      <w:szCs w:val="20"/>
      <w:lang w:val="en-GB" w:eastAsia="en-US"/>
    </w:rPr>
  </w:style>
  <w:style w:type="paragraph" w:styleId="ConsPlusCell" w:customStyle="1">
    <w:name w:val="ConsPlusCell"/>
    <w:qFormat/>
    <w:rsid w:val="00dd3215"/>
    <w:pPr>
      <w:widowControl/>
      <w:suppressAutoHyphens w:val="true"/>
      <w:bidi w:val="0"/>
      <w:spacing w:before="0" w:after="0"/>
      <w:jc w:val="left"/>
    </w:pPr>
    <w:rPr>
      <w:rFonts w:ascii="Arial" w:hAnsi="Arial" w:eastAsia="Times New Roman" w:cs="Arial"/>
      <w:color w:val="auto"/>
      <w:kern w:val="0"/>
      <w:sz w:val="20"/>
      <w:szCs w:val="20"/>
      <w:lang w:val="ru-RU" w:eastAsia="ru-RU" w:bidi="ar-SA"/>
    </w:rPr>
  </w:style>
  <w:style w:type="paragraph" w:styleId="Style34">
    <w:name w:val="Header"/>
    <w:basedOn w:val="Normal"/>
    <w:rsid w:val="001d6473"/>
    <w:pPr>
      <w:tabs>
        <w:tab w:val="clear" w:pos="708"/>
        <w:tab w:val="center" w:pos="4677" w:leader="none"/>
        <w:tab w:val="right" w:pos="9355" w:leader="none"/>
      </w:tabs>
    </w:pPr>
    <w:rPr/>
  </w:style>
  <w:style w:type="paragraph" w:styleId="ConsPlusTitle" w:customStyle="1">
    <w:name w:val="ConsPlusTitle"/>
    <w:qFormat/>
    <w:rsid w:val="00e635f3"/>
    <w:pPr>
      <w:widowControl w:val="false"/>
      <w:suppressAutoHyphens w:val="true"/>
      <w:bidi w:val="0"/>
      <w:spacing w:before="0" w:after="0"/>
      <w:jc w:val="left"/>
    </w:pPr>
    <w:rPr>
      <w:rFonts w:ascii="Calibri" w:hAnsi="Calibri" w:eastAsia="Times New Roman" w:cs="Calibri"/>
      <w:b/>
      <w:bCs/>
      <w:color w:val="auto"/>
      <w:kern w:val="0"/>
      <w:sz w:val="22"/>
      <w:szCs w:val="22"/>
      <w:lang w:val="ru-RU" w:eastAsia="ru-RU" w:bidi="ar-SA"/>
    </w:rPr>
  </w:style>
  <w:style w:type="paragraph" w:styleId="Style35" w:customStyle="1">
    <w:name w:val="Стиль текста"/>
    <w:basedOn w:val="Style24"/>
    <w:qFormat/>
    <w:rsid w:val="00e635f3"/>
    <w:pPr>
      <w:keepLines/>
      <w:spacing w:before="60" w:after="60"/>
      <w:jc w:val="both"/>
    </w:pPr>
    <w:rPr>
      <w:szCs w:val="20"/>
    </w:rPr>
  </w:style>
  <w:style w:type="paragraph" w:styleId="Style36" w:customStyle="1">
    <w:name w:val="Содержимое таблицы"/>
    <w:basedOn w:val="Normal"/>
    <w:qFormat/>
    <w:rsid w:val="00e635f3"/>
    <w:pPr>
      <w:widowControl w:val="false"/>
      <w:suppressLineNumbers/>
      <w:suppressAutoHyphens w:val="true"/>
    </w:pPr>
    <w:rPr>
      <w:rFonts w:eastAsia="Lucida Sans Unicode"/>
      <w:kern w:val="2"/>
    </w:rPr>
  </w:style>
  <w:style w:type="paragraph" w:styleId="BalloonText">
    <w:name w:val="Balloon Text"/>
    <w:basedOn w:val="Normal"/>
    <w:link w:val="Style13"/>
    <w:qFormat/>
    <w:rsid w:val="00d46774"/>
    <w:pPr/>
    <w:rPr>
      <w:rFonts w:ascii="Tahoma" w:hAnsi="Tahoma"/>
      <w:sz w:val="16"/>
      <w:szCs w:val="16"/>
    </w:rPr>
  </w:style>
  <w:style w:type="paragraph" w:styleId="Annotationtext">
    <w:name w:val="annotation text"/>
    <w:basedOn w:val="Normal"/>
    <w:link w:val="Style14"/>
    <w:qFormat/>
    <w:rsid w:val="00682d8b"/>
    <w:pPr/>
    <w:rPr>
      <w:sz w:val="20"/>
      <w:szCs w:val="20"/>
    </w:rPr>
  </w:style>
  <w:style w:type="paragraph" w:styleId="Annotationsubject">
    <w:name w:val="annotation subject"/>
    <w:basedOn w:val="Annotationtext"/>
    <w:next w:val="Annotationtext"/>
    <w:link w:val="Style15"/>
    <w:qFormat/>
    <w:rsid w:val="00682d8b"/>
    <w:pPr/>
    <w:rPr>
      <w:b/>
      <w:bCs/>
    </w:rPr>
  </w:style>
  <w:style w:type="paragraph" w:styleId="Style37" w:customStyle="1">
    <w:name w:val="Текст ТД"/>
    <w:basedOn w:val="Normal"/>
    <w:link w:val="Style16"/>
    <w:qFormat/>
    <w:rsid w:val="004d2199"/>
    <w:pPr>
      <w:numPr>
        <w:ilvl w:val="0"/>
        <w:numId w:val="2"/>
      </w:numPr>
      <w:spacing w:before="0" w:after="200"/>
      <w:jc w:val="both"/>
    </w:pPr>
    <w:rPr>
      <w:rFonts w:eastAsia="Calibri"/>
      <w:lang w:eastAsia="en-US"/>
    </w:rPr>
  </w:style>
  <w:style w:type="paragraph" w:styleId="ListParagraph">
    <w:name w:val="List Paragraph"/>
    <w:basedOn w:val="Normal"/>
    <w:link w:val="Style20"/>
    <w:uiPriority w:val="34"/>
    <w:qFormat/>
    <w:rsid w:val="00c94a1d"/>
    <w:pPr>
      <w:spacing w:before="0" w:after="0"/>
      <w:ind w:left="720" w:hanging="0"/>
      <w:contextualSpacing/>
    </w:pPr>
    <w:rPr/>
  </w:style>
  <w:style w:type="paragraph" w:styleId="NoSpacing">
    <w:name w:val="No Spacing"/>
    <w:link w:val="Style21"/>
    <w:uiPriority w:val="99"/>
    <w:qFormat/>
    <w:rsid w:val="00ba0d19"/>
    <w:pPr>
      <w:widowControl/>
      <w:suppressAutoHyphens w:val="true"/>
      <w:bidi w:val="0"/>
      <w:spacing w:before="0" w:after="0"/>
      <w:jc w:val="left"/>
    </w:pPr>
    <w:rPr>
      <w:rFonts w:ascii="Calibri" w:hAnsi="Calibri" w:eastAsia="Times New Roman" w:cs="Times New Roman"/>
      <w:color w:val="auto"/>
      <w:kern w:val="0"/>
      <w:sz w:val="22"/>
      <w:szCs w:val="22"/>
      <w:lang w:val="ru-RU" w:eastAsia="en-US" w:bidi="ar-SA"/>
    </w:rPr>
  </w:style>
  <w:style w:type="paragraph" w:styleId="Standard" w:customStyle="1">
    <w:name w:val="Standard"/>
    <w:qFormat/>
    <w:rsid w:val="00fa0776"/>
    <w:pPr>
      <w:widowControl w:val="false"/>
      <w:suppressAutoHyphens w:val="true"/>
      <w:bidi w:val="0"/>
      <w:spacing w:before="0" w:after="0"/>
      <w:jc w:val="left"/>
      <w:textAlignment w:val="baseline"/>
    </w:pPr>
    <w:rPr>
      <w:rFonts w:ascii="Calibri" w:hAnsi="Calibri" w:eastAsia="Lucida Sans Unicode" w:cs="Tahoma"/>
      <w:color w:val="000000"/>
      <w:kern w:val="2"/>
      <w:sz w:val="24"/>
      <w:szCs w:val="24"/>
      <w:lang w:val="en-US" w:eastAsia="en-US" w:bidi="en-US"/>
    </w:rPr>
  </w:style>
  <w:style w:type="paragraph" w:styleId="Formattext" w:customStyle="1">
    <w:name w:val="formattext"/>
    <w:basedOn w:val="Normal"/>
    <w:qFormat/>
    <w:rsid w:val="00590b38"/>
    <w:pPr>
      <w:spacing w:beforeAutospacing="1" w:afterAutospacing="1"/>
    </w:pPr>
    <w:rPr/>
  </w:style>
  <w:style w:type="paragraph" w:styleId="16" w:customStyle="1">
    <w:name w:val="Название1"/>
    <w:basedOn w:val="Normal"/>
    <w:qFormat/>
    <w:rsid w:val="00b6444c"/>
    <w:pPr>
      <w:widowControl w:val="false"/>
      <w:ind w:firstLine="420"/>
      <w:jc w:val="center"/>
    </w:pPr>
    <w:rPr>
      <w:b/>
      <w:szCs w:val="20"/>
    </w:rPr>
  </w:style>
  <w:style w:type="paragraph" w:styleId="17" w:customStyle="1">
    <w:name w:val="Обычный1"/>
    <w:qFormat/>
    <w:rsid w:val="00216a0e"/>
    <w:pPr>
      <w:widowControl/>
      <w:tabs>
        <w:tab w:val="clear" w:pos="708"/>
        <w:tab w:val="left" w:pos="851" w:leader="none"/>
      </w:tabs>
      <w:suppressAutoHyphens w:val="true"/>
      <w:bidi w:val="0"/>
      <w:spacing w:before="60" w:after="60"/>
      <w:ind w:firstLine="851"/>
      <w:jc w:val="both"/>
    </w:pPr>
    <w:rPr>
      <w:rFonts w:ascii="Times New Roman" w:hAnsi="Times New Roman" w:eastAsia="ヒラギノ角ゴ Pro W3" w:cs="Times New Roman"/>
      <w:color w:val="000000"/>
      <w:kern w:val="0"/>
      <w:sz w:val="24"/>
      <w:szCs w:val="20"/>
      <w:lang w:val="ru-RU" w:eastAsia="ru-RU" w:bidi="ar-SA"/>
    </w:rPr>
  </w:style>
  <w:style w:type="paragraph" w:styleId="Style38">
    <w:name w:val="Содержимое врезки"/>
    <w:basedOn w:val="Normal"/>
    <w:qFormat/>
    <w:pPr/>
    <w:rPr/>
  </w:style>
  <w:style w:type="numbering" w:styleId="NoList" w:default="1">
    <w:name w:val="No List"/>
    <w:uiPriority w:val="99"/>
    <w:semiHidden/>
    <w:unhideWhenUsed/>
    <w:qFormat/>
  </w:style>
  <w:style w:type="table" w:default="1" w:styleId="a2">
    <w:name w:val="Normal Table"/>
    <w:uiPriority w:val="99"/>
    <w:semiHidden/>
    <w:unhideWhenUsed/>
    <w:qFormat/>
    <w:tblPr>
      <w:tblCellMar>
        <w:top w:w="0" w:type="dxa"/>
        <w:left w:w="108" w:type="dxa"/>
        <w:bottom w:w="0" w:type="dxa"/>
        <w:right w:w="108" w:type="dxa"/>
      </w:tblCellMar>
    </w:tblPr>
  </w:style>
  <w:style w:type="table" w:styleId="a4">
    <w:name w:val="Table Grid"/>
    <w:basedOn w:val="a2"/>
    <w:rsid w:val="003b5f5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cs30.surp-spb.ru/cgi/online.cgi?req=doc&amp;base=LAW&amp;n=411149&amp;dst=2987&amp;field=134&amp;date=11.03.2022" TargetMode="External"/><Relationship Id="rId3" Type="http://schemas.openxmlformats.org/officeDocument/2006/relationships/hyperlink" Target="https://docs30.surp-spb.ru/cgi/online.cgi?req=doc&amp;base=LAW&amp;n=411149&amp;dst=2994&amp;field=134&amp;date=11.03.2022"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E4AF1-B3E8-49F8-89FE-A87BF92F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Application>LibreOffice/7.4.2.3$Windows_X86_64 LibreOffice_project/382eef1f22670f7f4118c8c2dd222ec7ad009daf</Application>
  <AppVersion>15.0000</AppVersion>
  <Pages>11</Pages>
  <Words>3728</Words>
  <Characters>27857</Characters>
  <CharactersWithSpaces>31511</CharactersWithSpaces>
  <Paragraphs>195</Paragraphs>
  <Company>Администрация Фрунзенского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2023-05-24T06:40:00Z</dcterms:created>
  <dc:creator>azarenok</dc:creator>
  <dc:description/>
  <dc:language>ru-RU</dc:language>
  <cp:lastModifiedBy/>
  <cp:lastPrinted>2023-02-22T06:46:00Z</cp:lastPrinted>
  <dcterms:modified xsi:type="dcterms:W3CDTF">2024-09-13T15:43:38Z</dcterms:modified>
  <cp:revision>5</cp:revision>
  <dc:subject/>
  <dc:title>ИЗВЕЩЕНИЕ</dc:title>
</cp:coreProperties>
</file>

<file path=docProps/custom.xml><?xml version="1.0" encoding="utf-8"?>
<Properties xmlns="http://schemas.openxmlformats.org/officeDocument/2006/custom-properties" xmlns:vt="http://schemas.openxmlformats.org/officeDocument/2006/docPropsVTypes"/>
</file>