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jc w:val="center"/>
        <w:rPr>
          <w:sz w:val="24"/>
          <w:szCs w:val="24"/>
        </w:rPr>
      </w:pPr>
      <w:r>
        <w:rPr>
          <w:rFonts w:ascii="Times New Roman" w:hAnsi="Times New Roman"/>
          <w:b/>
          <w:bCs/>
          <w:sz w:val="24"/>
          <w:szCs w:val="24"/>
        </w:rPr>
        <w:t>Закупка проводится в соответствии с  разделом 33 Положения о закупах и является неконкурентной</w:t>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tabs>
          <w:tab w:val="clear" w:pos="708"/>
          <w:tab w:val="left" w:pos="1418" w:leader="none"/>
        </w:tabs>
        <w:spacing w:lineRule="auto" w:line="240" w:before="0" w:after="0"/>
        <w:jc w:val="both"/>
        <w:rPr>
          <w:sz w:val="24"/>
          <w:szCs w:val="24"/>
        </w:rPr>
      </w:pPr>
      <w:r>
        <w:rPr>
          <w:rFonts w:ascii="Times New Roman" w:hAnsi="Times New Roman"/>
          <w:b/>
          <w:bCs/>
          <w:kern w:val="2"/>
          <w:sz w:val="24"/>
          <w:szCs w:val="24"/>
        </w:rPr>
        <w:t>В соответствии с пунктами 29.1 и п. 30.1 в документации установлены Отборочные критерии в целях признания Заявок Участников закупки соответствующими условиям закупки (отклонения Заявок).</w:t>
      </w:r>
    </w:p>
    <w:p>
      <w:pPr>
        <w:pStyle w:val="Normal"/>
        <w:tabs>
          <w:tab w:val="clear" w:pos="708"/>
          <w:tab w:val="left" w:pos="1418" w:leader="none"/>
        </w:tabs>
        <w:spacing w:lineRule="auto" w:line="240" w:before="0" w:after="0"/>
        <w:jc w:val="both"/>
        <w:rPr>
          <w:rFonts w:ascii="Times New Roman" w:hAnsi="Times New Roman"/>
          <w:bCs/>
          <w:kern w:val="2"/>
          <w:sz w:val="28"/>
          <w:szCs w:val="28"/>
        </w:rPr>
      </w:pPr>
      <w:r>
        <w:rPr>
          <w:rFonts w:ascii="Times New Roman" w:hAnsi="Times New Roman"/>
          <w:bCs/>
          <w:kern w:val="2"/>
          <w:sz w:val="28"/>
          <w:szCs w:val="28"/>
        </w:rPr>
      </w:r>
    </w:p>
    <w:p>
      <w:pPr>
        <w:pStyle w:val="Normal"/>
        <w:keepNext w:val="true"/>
        <w:keepLines/>
        <w:suppressAutoHyphens w:val="true"/>
        <w:spacing w:lineRule="auto" w:line="240" w:before="0" w:after="0"/>
        <w:rPr>
          <w:rFonts w:ascii="Times New Roman" w:hAnsi="Times New Roman"/>
          <w:b/>
          <w:bCs/>
          <w:sz w:val="24"/>
          <w:szCs w:val="24"/>
        </w:rPr>
      </w:pPr>
      <w:r>
        <w:rPr>
          <w:rFonts w:ascii="Times New Roman" w:hAnsi="Times New Roman"/>
          <w:b/>
          <w:bCs/>
          <w:sz w:val="24"/>
          <w:szCs w:val="24"/>
        </w:rPr>
      </w:r>
    </w:p>
    <w:p>
      <w:pPr>
        <w:pStyle w:val="Normal"/>
        <w:widowControl w:val="false"/>
        <w:spacing w:lineRule="auto" w:line="240" w:before="0" w:after="0"/>
        <w:jc w:val="both"/>
        <w:rPr/>
      </w:pPr>
      <w:r>
        <w:rPr>
          <w:rFonts w:ascii="Times New Roman" w:hAnsi="Times New Roman"/>
          <w:color w:val="000000"/>
          <w:sz w:val="24"/>
          <w:szCs w:val="24"/>
        </w:rPr>
        <w:t xml:space="preserve">1. Опыт работы Исполнителя в области экологического проектирования, в частности разработки и согласования санитарно-защитных зон для объектов НВОС, расположенных на территории г. Санкт-Петербурга, не менее 3 (трех) лет (2021-2024 гг.). Опыт работы подтверждается </w:t>
      </w:r>
      <w:r>
        <w:rPr>
          <w:rFonts w:ascii="Times New Roman" w:hAnsi="Times New Roman"/>
          <w:b/>
          <w:color w:val="000000"/>
          <w:sz w:val="24"/>
          <w:szCs w:val="24"/>
        </w:rPr>
        <w:t xml:space="preserve">путем предоставления </w:t>
      </w:r>
      <w:r>
        <w:rPr>
          <w:rFonts w:ascii="Times New Roman" w:hAnsi="Times New Roman"/>
          <w:b/>
          <w:color w:val="000000"/>
          <w:sz w:val="24"/>
          <w:szCs w:val="24"/>
          <w:shd w:fill="FFFFFF" w:val="clear"/>
        </w:rPr>
        <w:t xml:space="preserve">в составе оферты </w:t>
      </w:r>
      <w:r>
        <w:rPr>
          <w:rFonts w:ascii="Times New Roman" w:hAnsi="Times New Roman"/>
          <w:b/>
          <w:color w:val="000000"/>
          <w:sz w:val="24"/>
          <w:szCs w:val="24"/>
        </w:rPr>
        <w:t xml:space="preserve">не менее 2-х копий  </w:t>
      </w:r>
      <w:r>
        <w:rPr>
          <w:rFonts w:ascii="Times New Roman" w:hAnsi="Times New Roman"/>
          <w:b/>
          <w:color w:val="000000"/>
          <w:sz w:val="24"/>
          <w:szCs w:val="24"/>
        </w:rPr>
        <w:t xml:space="preserve">санитарно - эпидемиологических </w:t>
      </w:r>
      <w:r>
        <w:rPr>
          <w:rFonts w:ascii="Times New Roman" w:hAnsi="Times New Roman"/>
          <w:b/>
          <w:color w:val="000000"/>
          <w:sz w:val="24"/>
          <w:szCs w:val="24"/>
        </w:rPr>
        <w:t>заключени</w:t>
      </w:r>
      <w:r>
        <w:rPr>
          <w:rFonts w:ascii="Times New Roman" w:hAnsi="Times New Roman"/>
          <w:b/>
          <w:color w:val="000000"/>
          <w:sz w:val="24"/>
          <w:szCs w:val="24"/>
        </w:rPr>
        <w:t>й</w:t>
      </w:r>
      <w:r>
        <w:rPr>
          <w:rFonts w:ascii="Times New Roman" w:hAnsi="Times New Roman"/>
          <w:b/>
          <w:color w:val="000000"/>
          <w:sz w:val="24"/>
          <w:szCs w:val="24"/>
        </w:rPr>
        <w:t xml:space="preserve"> </w:t>
      </w:r>
      <w:r>
        <w:rPr>
          <w:rFonts w:ascii="Times New Roman" w:hAnsi="Times New Roman"/>
          <w:b/>
          <w:color w:val="000000"/>
          <w:sz w:val="24"/>
          <w:szCs w:val="24"/>
        </w:rPr>
        <w:t xml:space="preserve">и </w:t>
      </w:r>
      <w:r>
        <w:rPr>
          <w:rFonts w:ascii="Times New Roman" w:hAnsi="Times New Roman"/>
          <w:b/>
          <w:color w:val="000000"/>
          <w:sz w:val="24"/>
          <w:szCs w:val="24"/>
        </w:rPr>
        <w:t xml:space="preserve">решений </w:t>
      </w:r>
      <w:r>
        <w:rPr>
          <w:rFonts w:ascii="Times New Roman" w:hAnsi="Times New Roman"/>
          <w:color w:val="000000"/>
          <w:sz w:val="24"/>
          <w:szCs w:val="24"/>
        </w:rPr>
        <w:t xml:space="preserve">об установлении санитарно-защитной зоны для объектов НВОС принадлежащих разным юридическим лицам, выданных </w:t>
      </w:r>
      <w:r>
        <w:rPr>
          <w:rStyle w:val="Strong"/>
          <w:rFonts w:ascii="Times New Roman" w:hAnsi="Times New Roman"/>
          <w:b w:val="false"/>
          <w:bCs w:val="false"/>
          <w:color w:val="000000"/>
          <w:sz w:val="24"/>
          <w:szCs w:val="24"/>
        </w:rPr>
        <w:t>Управлением Федеральной службы по надзору в сфере защиты прав потребителей и благополучия человека по городу Санкт-Петербург</w:t>
      </w:r>
      <w:r>
        <w:rPr>
          <w:rFonts w:ascii="Times New Roman" w:hAnsi="Times New Roman"/>
          <w:color w:val="000000"/>
          <w:sz w:val="24"/>
          <w:szCs w:val="24"/>
        </w:rPr>
        <w:t>, оформленных в течение указанного периода.</w:t>
      </w:r>
    </w:p>
    <w:p>
      <w:pPr>
        <w:pStyle w:val="Normal"/>
        <w:widowControl w:val="false"/>
        <w:spacing w:lineRule="auto" w:line="240" w:before="0" w:after="0"/>
        <w:jc w:val="both"/>
        <w:rPr>
          <w:b/>
        </w:rPr>
      </w:pPr>
      <w:r>
        <w:rPr>
          <w:rFonts w:ascii="Times New Roman" w:hAnsi="Times New Roman"/>
          <w:color w:val="000000"/>
          <w:sz w:val="24"/>
          <w:szCs w:val="24"/>
        </w:rPr>
        <w:t>2.  Наличие у Исполнителя собственной лаборатории или действующего договора с лабораторией, аккредитованной в порядке, установленном законодательством РФ, на проведение работ по исследованию (измерению) химического загрязнения</w:t>
        <w:br/>
        <w:t>и уровней физического воздействия на атмосферный воздух. Срок действия аттестата аккредитации: на период оказания услуг</w:t>
      </w:r>
      <w:r>
        <w:rPr>
          <w:rFonts w:ascii="Times New Roman" w:hAnsi="Times New Roman"/>
          <w:b/>
          <w:color w:val="000000"/>
          <w:sz w:val="24"/>
          <w:szCs w:val="24"/>
        </w:rPr>
        <w:t>. Необходимо предоставить</w:t>
      </w:r>
      <w:r>
        <w:rPr>
          <w:rFonts w:ascii="Times New Roman" w:hAnsi="Times New Roman"/>
          <w:b/>
          <w:color w:val="000000"/>
          <w:sz w:val="24"/>
          <w:szCs w:val="24"/>
          <w:shd w:fill="FFFFFF" w:val="clear"/>
        </w:rPr>
        <w:t xml:space="preserve"> в составе оферты </w:t>
      </w:r>
      <w:r>
        <w:rPr>
          <w:rFonts w:ascii="Times New Roman" w:hAnsi="Times New Roman"/>
          <w:b/>
          <w:color w:val="000000"/>
          <w:sz w:val="24"/>
          <w:szCs w:val="24"/>
        </w:rPr>
        <w:t>копии договора и аттестата аккредитации.</w:t>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ind w:firstLine="708"/>
        <w:jc w:val="both"/>
        <w:rPr>
          <w:rFonts w:ascii="Times New Roman" w:hAnsi="Times New Roman"/>
          <w:b/>
          <w:bCs/>
          <w:sz w:val="24"/>
          <w:szCs w:val="24"/>
        </w:rPr>
      </w:pPr>
      <w:r>
        <w:rPr>
          <w:rFonts w:ascii="Times New Roman" w:hAnsi="Times New Roman"/>
          <w:b/>
          <w:bCs/>
          <w:sz w:val="24"/>
          <w:szCs w:val="24"/>
        </w:rPr>
        <w:t>Подавая оферту, Участник закупки подтверждает соответствие указанным требованиям.</w:t>
      </w:r>
    </w:p>
    <w:p>
      <w:pPr>
        <w:pStyle w:val="Normal"/>
        <w:keepNext w:val="true"/>
        <w:keepLines/>
        <w:suppressAutoHyphens w:val="true"/>
        <w:spacing w:lineRule="auto" w:line="240" w:before="0" w:after="0"/>
        <w:ind w:firstLine="708"/>
        <w:jc w:val="both"/>
        <w:rPr>
          <w:rFonts w:ascii="Times New Roman" w:hAnsi="Times New Roman"/>
          <w:bCs/>
          <w:sz w:val="24"/>
          <w:szCs w:val="24"/>
        </w:rPr>
      </w:pPr>
      <w:r>
        <w:rPr>
          <w:rFonts w:ascii="Times New Roman" w:hAnsi="Times New Roman"/>
          <w:b/>
          <w:bCs/>
          <w:sz w:val="24"/>
          <w:szCs w:val="24"/>
        </w:rPr>
        <w:t>При выявлении несоответствия участника указанным требованиям, заявка подлежит отклонению</w:t>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t>Требование к участнику закупки</w:t>
      </w:r>
    </w:p>
    <w:p>
      <w:pPr>
        <w:pStyle w:val="Normal"/>
        <w:keepNext w:val="true"/>
        <w:keepLines/>
        <w:suppressAutoHyphens w:val="true"/>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ListParagraph"/>
        <w:numPr>
          <w:ilvl w:val="1"/>
          <w:numId w:val="1"/>
        </w:numPr>
        <w:tabs>
          <w:tab w:val="clear" w:pos="708"/>
          <w:tab w:val="left" w:pos="0" w:leader="none"/>
        </w:tabs>
        <w:spacing w:lineRule="auto" w:line="240" w:before="0" w:after="0"/>
        <w:ind w:left="31" w:firstLine="65"/>
        <w:contextualSpacing/>
        <w:jc w:val="both"/>
        <w:rPr>
          <w:rFonts w:ascii="Times New Roman" w:hAnsi="Times New Roman"/>
          <w:sz w:val="24"/>
          <w:szCs w:val="24"/>
        </w:rPr>
      </w:pPr>
      <w:bookmarkStart w:id="0" w:name="Point"/>
      <w:r>
        <w:rPr>
          <w:rFonts w:ascii="Times New Roman" w:hAnsi="Times New Roman"/>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ListParagraph"/>
        <w:numPr>
          <w:ilvl w:val="1"/>
          <w:numId w:val="1"/>
        </w:numPr>
        <w:tabs>
          <w:tab w:val="clear" w:pos="708"/>
          <w:tab w:val="left" w:pos="0" w:leader="none"/>
        </w:tabs>
        <w:spacing w:lineRule="auto" w:line="240" w:before="0" w:after="0"/>
        <w:ind w:left="31" w:hanging="0"/>
        <w:contextualSpacing/>
        <w:jc w:val="both"/>
        <w:rPr>
          <w:rFonts w:ascii="Times New Roman" w:hAnsi="Times New Roman"/>
          <w:sz w:val="24"/>
          <w:szCs w:val="24"/>
          <w:lang w:eastAsia="en-US"/>
        </w:rPr>
      </w:pPr>
      <w:r>
        <w:rPr>
          <w:rFonts w:ascii="Times New Roman" w:hAnsi="Times New Roman"/>
          <w:sz w:val="24"/>
          <w:szCs w:val="24"/>
        </w:rPr>
        <w:t xml:space="preserve">Неприостановление деятельности участника закупки в порядке, установленном </w:t>
      </w:r>
      <w:hyperlink r:id="rId2">
        <w:r>
          <w:rPr>
            <w:rFonts w:ascii="Times New Roman" w:hAnsi="Times New Roman"/>
            <w:sz w:val="24"/>
            <w:szCs w:val="24"/>
          </w:rPr>
          <w:t>Кодексом</w:t>
        </w:r>
      </w:hyperlink>
      <w:r>
        <w:rPr>
          <w:rFonts w:ascii="Times New Roman" w:hAnsi="Times New Roman"/>
          <w:sz w:val="24"/>
          <w:szCs w:val="24"/>
        </w:rPr>
        <w:t xml:space="preserve"> Российской Федерации об административных правонарушениях, на дату подачи заявки на участие в закупке;</w:t>
      </w:r>
    </w:p>
    <w:p>
      <w:pPr>
        <w:pStyle w:val="ListParagraph"/>
        <w:numPr>
          <w:ilvl w:val="1"/>
          <w:numId w:val="1"/>
        </w:numPr>
        <w:tabs>
          <w:tab w:val="clear" w:pos="708"/>
          <w:tab w:val="left" w:pos="0" w:leader="none"/>
        </w:tabs>
        <w:spacing w:lineRule="auto" w:line="240" w:before="0" w:after="0"/>
        <w:ind w:left="31" w:hanging="0"/>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
        <w:r>
          <w:rPr>
            <w:rFonts w:ascii="Times New Roman" w:hAnsi="Times New Roman"/>
            <w:sz w:val="24"/>
            <w:szCs w:val="24"/>
            <w:lang w:eastAsia="en-US"/>
          </w:rPr>
          <w:t>законодательством</w:t>
        </w:r>
      </w:hyperlink>
      <w:r>
        <w:rPr>
          <w:rFonts w:ascii="Times New Roman" w:hAnsi="Times New Roman"/>
          <w:sz w:val="24"/>
          <w:szCs w:val="24"/>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4">
        <w:r>
          <w:rPr>
            <w:rFonts w:ascii="Times New Roman" w:hAnsi="Times New Roman"/>
            <w:sz w:val="24"/>
            <w:szCs w:val="24"/>
            <w:lang w:eastAsia="en-US"/>
          </w:rPr>
          <w:t>законодательством</w:t>
        </w:r>
      </w:hyperlink>
      <w:r>
        <w:rPr>
          <w:rFonts w:ascii="Times New Roman" w:hAnsi="Times New Roman"/>
          <w:sz w:val="24"/>
          <w:szCs w:val="24"/>
          <w:lang w:eastAsia="en-US"/>
        </w:rPr>
        <w:t xml:space="preserve"> Российской Федерации </w:t>
        <w:b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ListParagraph"/>
        <w:numPr>
          <w:ilvl w:val="1"/>
          <w:numId w:val="1"/>
        </w:numPr>
        <w:tabs>
          <w:tab w:val="clear" w:pos="708"/>
          <w:tab w:val="left" w:pos="0" w:leader="none"/>
        </w:tabs>
        <w:spacing w:lineRule="auto" w:line="240" w:before="0" w:after="0"/>
        <w:ind w:left="31" w:hanging="31"/>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5">
        <w:r>
          <w:rPr>
            <w:rFonts w:ascii="Times New Roman" w:hAnsi="Times New Roman"/>
            <w:sz w:val="24"/>
            <w:szCs w:val="24"/>
            <w:lang w:eastAsia="en-US"/>
          </w:rPr>
          <w:t>статьями 289</w:t>
        </w:r>
      </w:hyperlink>
      <w:r>
        <w:rPr>
          <w:rFonts w:ascii="Times New Roman" w:hAnsi="Times New Roman"/>
          <w:sz w:val="24"/>
          <w:szCs w:val="24"/>
          <w:lang w:eastAsia="en-US"/>
        </w:rPr>
        <w:t xml:space="preserve">, </w:t>
      </w:r>
      <w:hyperlink r:id="rId6">
        <w:r>
          <w:rPr>
            <w:rFonts w:ascii="Times New Roman" w:hAnsi="Times New Roman"/>
            <w:sz w:val="24"/>
            <w:szCs w:val="24"/>
            <w:lang w:eastAsia="en-US"/>
          </w:rPr>
          <w:t>290</w:t>
        </w:r>
      </w:hyperlink>
      <w:r>
        <w:rPr>
          <w:rFonts w:ascii="Times New Roman" w:hAnsi="Times New Roman"/>
          <w:sz w:val="24"/>
          <w:szCs w:val="24"/>
          <w:lang w:eastAsia="en-US"/>
        </w:rPr>
        <w:t xml:space="preserve">, </w:t>
      </w:r>
      <w:hyperlink r:id="rId7">
        <w:r>
          <w:rPr>
            <w:rFonts w:ascii="Times New Roman" w:hAnsi="Times New Roman"/>
            <w:sz w:val="24"/>
            <w:szCs w:val="24"/>
            <w:lang w:eastAsia="en-US"/>
          </w:rPr>
          <w:t>291</w:t>
        </w:r>
      </w:hyperlink>
      <w:r>
        <w:rPr>
          <w:rFonts w:ascii="Times New Roman" w:hAnsi="Times New Roman"/>
          <w:sz w:val="24"/>
          <w:szCs w:val="24"/>
          <w:lang w:eastAsia="en-US"/>
        </w:rPr>
        <w:t xml:space="preserve">, </w:t>
      </w:r>
      <w:hyperlink r:id="rId8">
        <w:r>
          <w:rPr>
            <w:rFonts w:ascii="Times New Roman" w:hAnsi="Times New Roman"/>
            <w:sz w:val="24"/>
            <w:szCs w:val="24"/>
            <w:lang w:eastAsia="en-US"/>
          </w:rPr>
          <w:t>291.1</w:t>
        </w:r>
      </w:hyperlink>
      <w:r>
        <w:rPr>
          <w:rFonts w:ascii="Times New Roman" w:hAnsi="Times New Roman"/>
          <w:sz w:val="24"/>
          <w:szCs w:val="24"/>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ListParagraph"/>
        <w:numPr>
          <w:ilvl w:val="1"/>
          <w:numId w:val="1"/>
        </w:numPr>
        <w:tabs>
          <w:tab w:val="clear" w:pos="708"/>
          <w:tab w:val="left" w:pos="0" w:leader="none"/>
        </w:tabs>
        <w:spacing w:lineRule="auto" w:line="240" w:before="0" w:after="0"/>
        <w:ind w:left="0" w:hanging="0"/>
        <w:contextualSpacing/>
        <w:jc w:val="both"/>
        <w:rPr>
          <w:rFonts w:ascii="Times New Roman" w:hAnsi="Times New Roman"/>
          <w:sz w:val="24"/>
          <w:szCs w:val="24"/>
          <w:lang w:eastAsia="en-US"/>
        </w:rPr>
      </w:pPr>
      <w:r>
        <w:rPr>
          <w:rFonts w:ascii="Times New Roman" w:hAnsi="Times New Roman"/>
          <w:sz w:val="24"/>
          <w:szCs w:val="24"/>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9">
        <w:r>
          <w:rPr>
            <w:rFonts w:ascii="Times New Roman" w:hAnsi="Times New Roman"/>
            <w:sz w:val="24"/>
            <w:szCs w:val="24"/>
            <w:lang w:eastAsia="en-US"/>
          </w:rPr>
          <w:t>статьей 19.28</w:t>
        </w:r>
      </w:hyperlink>
      <w:r>
        <w:rPr>
          <w:rFonts w:ascii="Times New Roman" w:hAnsi="Times New Roman"/>
          <w:sz w:val="24"/>
          <w:szCs w:val="24"/>
          <w:lang w:eastAsia="en-US"/>
        </w:rPr>
        <w:t xml:space="preserve"> Кодекса Российской Федерации об административных правонарушениях;</w:t>
      </w:r>
    </w:p>
    <w:p>
      <w:pPr>
        <w:pStyle w:val="ListParagraph"/>
        <w:numPr>
          <w:ilvl w:val="1"/>
          <w:numId w:val="1"/>
        </w:numPr>
        <w:tabs>
          <w:tab w:val="clear" w:pos="708"/>
          <w:tab w:val="left" w:pos="0" w:leader="none"/>
        </w:tabs>
        <w:spacing w:lineRule="auto" w:line="240" w:before="0" w:after="0"/>
        <w:ind w:left="0" w:hanging="0"/>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w:t>
        <w:br/>
        <w:t xml:space="preserve">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w:t>
        <w:br/>
        <w:t>в уставном капитале хозяйственного общества;</w:t>
      </w:r>
    </w:p>
    <w:p>
      <w:pPr>
        <w:pStyle w:val="ListParagraph"/>
        <w:numPr>
          <w:ilvl w:val="1"/>
          <w:numId w:val="1"/>
        </w:numPr>
        <w:tabs>
          <w:tab w:val="clear" w:pos="708"/>
          <w:tab w:val="left" w:pos="0" w:leader="none"/>
        </w:tabs>
        <w:spacing w:lineRule="auto" w:line="240" w:before="0" w:after="0"/>
        <w:ind w:left="0" w:hanging="0"/>
        <w:contextualSpacing/>
        <w:jc w:val="both"/>
        <w:rPr>
          <w:rFonts w:ascii="Times New Roman" w:hAnsi="Times New Roman"/>
          <w:sz w:val="24"/>
          <w:szCs w:val="24"/>
          <w:lang w:eastAsia="en-US"/>
        </w:rPr>
      </w:pPr>
      <w:bookmarkStart w:id="1" w:name="Point"/>
      <w:r>
        <w:rPr>
          <w:rFonts w:ascii="Times New Roman" w:hAnsi="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bookmarkEnd w:id="1"/>
    </w:p>
    <w:p>
      <w:pPr>
        <w:pStyle w:val="ListParagraph"/>
        <w:numPr>
          <w:ilvl w:val="1"/>
          <w:numId w:val="1"/>
        </w:numPr>
        <w:tabs>
          <w:tab w:val="clear" w:pos="708"/>
          <w:tab w:val="left" w:pos="0" w:leader="none"/>
        </w:tabs>
        <w:spacing w:lineRule="auto" w:line="240" w:before="0" w:after="0"/>
        <w:ind w:left="0" w:hanging="0"/>
        <w:contextualSpacing/>
        <w:jc w:val="both"/>
        <w:rPr>
          <w:rFonts w:ascii="Times New Roman" w:hAnsi="Times New Roman"/>
          <w:sz w:val="24"/>
          <w:szCs w:val="24"/>
          <w:lang w:eastAsia="en-US"/>
        </w:rPr>
      </w:pPr>
      <w:r>
        <w:rPr>
          <w:rFonts w:ascii="Times New Roman" w:hAnsi="Times New Roman"/>
          <w:sz w:val="24"/>
          <w:szCs w:val="24"/>
        </w:rPr>
        <w:t xml:space="preserve">Если в связи с исполнением договора заказчик приобретает права на результаты интеллектуальной деятельности, за исключением случаев заключения договоров </w:t>
        <w:br/>
        <w:t xml:space="preserve">на создание произведений литературы или искусства, исполнения, на финансирование проката или показа национального фильма, Заказчик устанавливает следующие требования к Участникам закупки: </w:t>
      </w:r>
      <w:r>
        <w:rPr>
          <w:rFonts w:ascii="Times New Roman" w:hAnsi="Times New Roman"/>
          <w:sz w:val="24"/>
          <w:szCs w:val="24"/>
          <w:lang w:eastAsia="en-US"/>
        </w:rPr>
        <w:t>Обладание участником закупки исключительными правами на результаты интеллектуальной деятельности.</w:t>
      </w:r>
    </w:p>
    <w:p>
      <w:pPr>
        <w:pStyle w:val="ListParagraph"/>
        <w:numPr>
          <w:ilvl w:val="1"/>
          <w:numId w:val="1"/>
        </w:numPr>
        <w:tabs>
          <w:tab w:val="clear" w:pos="708"/>
          <w:tab w:val="left" w:pos="0" w:leader="none"/>
        </w:tabs>
        <w:spacing w:lineRule="auto" w:line="240" w:before="0" w:after="0"/>
        <w:ind w:left="0" w:hanging="0"/>
        <w:contextualSpacing/>
        <w:jc w:val="both"/>
        <w:rPr>
          <w:rFonts w:ascii="Times New Roman" w:hAnsi="Times New Roman"/>
          <w:sz w:val="24"/>
          <w:szCs w:val="24"/>
          <w:lang w:eastAsia="en-US"/>
        </w:rPr>
      </w:pPr>
      <w:r>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статьей 5 Федерального закона № 223-ФЗ.</w:t>
      </w:r>
    </w:p>
    <w:p>
      <w:pPr>
        <w:pStyle w:val="ListParagraph"/>
        <w:numPr>
          <w:ilvl w:val="1"/>
          <w:numId w:val="1"/>
        </w:numPr>
        <w:tabs>
          <w:tab w:val="clear" w:pos="708"/>
          <w:tab w:val="left" w:pos="0" w:leader="none"/>
        </w:tabs>
        <w:spacing w:lineRule="auto" w:line="240" w:before="0" w:after="0"/>
        <w:ind w:left="0" w:hanging="0"/>
        <w:contextualSpacing/>
        <w:jc w:val="both"/>
        <w:rPr>
          <w:rFonts w:ascii="Times New Roman" w:hAnsi="Times New Roman"/>
          <w:sz w:val="24"/>
          <w:szCs w:val="24"/>
          <w:lang w:eastAsia="en-US"/>
        </w:rPr>
      </w:pPr>
      <w:r>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Федеральным законом от 05.04.2013 № 44-ФЗ.</w:t>
      </w:r>
    </w:p>
    <w:p>
      <w:pPr>
        <w:pStyle w:val="ListParagraph"/>
        <w:keepNext w:val="true"/>
        <w:keepLines/>
        <w:numPr>
          <w:ilvl w:val="1"/>
          <w:numId w:val="1"/>
        </w:numPr>
        <w:tabs>
          <w:tab w:val="clear" w:pos="708"/>
          <w:tab w:val="left" w:pos="0" w:leader="none"/>
        </w:tabs>
        <w:suppressAutoHyphens w:val="true"/>
        <w:spacing w:lineRule="auto" w:line="240" w:before="0" w:after="0"/>
        <w:ind w:left="0" w:hanging="0"/>
        <w:contextualSpacing/>
        <w:jc w:val="both"/>
        <w:rPr>
          <w:rFonts w:ascii="Times New Roman" w:hAnsi="Times New Roman"/>
          <w:bCs/>
          <w:sz w:val="24"/>
          <w:szCs w:val="24"/>
        </w:rPr>
      </w:pPr>
      <w:r>
        <w:rPr>
          <w:rFonts w:ascii="Times New Roman" w:hAnsi="Times New Roman"/>
          <w:sz w:val="24"/>
          <w:szCs w:val="24"/>
          <w:lang w:eastAsia="en-US"/>
        </w:rPr>
        <w:t>Участниками закупки не могут быть юридические или физические лица, которые признаны иностранными агентами согласно Федеральному закону от 14.07.2022 № 255-ФЗ "О контроле за деятельностью лиц, находящихся под иностранным влиянием"</w:t>
      </w:r>
    </w:p>
    <w:p>
      <w:pPr>
        <w:pStyle w:val="ListParagraph"/>
        <w:keepNext w:val="true"/>
        <w:keepLines/>
        <w:numPr>
          <w:ilvl w:val="1"/>
          <w:numId w:val="1"/>
        </w:numPr>
        <w:tabs>
          <w:tab w:val="clear" w:pos="708"/>
          <w:tab w:val="left" w:pos="0" w:leader="none"/>
        </w:tabs>
        <w:suppressAutoHyphens w:val="true"/>
        <w:spacing w:lineRule="auto" w:line="240" w:before="0" w:after="0"/>
        <w:ind w:left="0" w:hanging="0"/>
        <w:contextualSpacing/>
        <w:jc w:val="both"/>
        <w:rPr>
          <w:rFonts w:ascii="Times New Roman" w:hAnsi="Times New Roman"/>
          <w:sz w:val="24"/>
          <w:szCs w:val="24"/>
          <w:lang w:eastAsia="en-US"/>
        </w:rPr>
      </w:pPr>
      <w:r>
        <w:rPr>
          <w:rFonts w:ascii="Times New Roman" w:hAnsi="Times New Roman"/>
          <w:sz w:val="24"/>
          <w:szCs w:val="24"/>
          <w:lang w:eastAsia="en-U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jc w:val="both"/>
        <w:rPr/>
      </w:pPr>
      <w:r>
        <w:rPr/>
      </w:r>
    </w:p>
    <w:p>
      <w:pPr>
        <w:pStyle w:val="Normal"/>
        <w:jc w:val="both"/>
        <w:rPr/>
      </w:pPr>
      <w:r>
        <w:rPr/>
      </w:r>
    </w:p>
    <w:p>
      <w:pPr>
        <w:pStyle w:val="Normal"/>
        <w:spacing w:before="0" w:after="200"/>
        <w:jc w:val="both"/>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PT Astra Serif">
    <w:charset w:val="01"/>
    <w:family w:val="roman"/>
    <w:pitch w:val="default"/>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val="bestFit" w:percent="18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d2332"/>
    <w:pPr>
      <w:widowControl/>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Абзац списка Знак"/>
    <w:link w:val="ListParagraph"/>
    <w:uiPriority w:val="34"/>
    <w:qFormat/>
    <w:rsid w:val="004d2332"/>
    <w:rPr>
      <w:rFonts w:ascii="Calibri" w:hAnsi="Calibri" w:eastAsia="Calibri" w:cs="Times New Roman"/>
      <w:lang w:eastAsia="ru-RU"/>
    </w:rPr>
  </w:style>
  <w:style w:type="character" w:styleId="Strong">
    <w:name w:val="Strong"/>
    <w:qFormat/>
    <w:rsid w:val="00304c49"/>
    <w:rPr>
      <w:b/>
      <w:bCs/>
    </w:rPr>
  </w:style>
  <w:style w:type="character" w:styleId="-">
    <w:name w:val="Hyperlink"/>
    <w:rPr>
      <w:color w:val="000080"/>
      <w:u w:val="single"/>
    </w:rPr>
  </w:style>
  <w:style w:type="paragraph" w:styleId="Style15">
    <w:name w:val="Заголовок"/>
    <w:basedOn w:val="Normal"/>
    <w:next w:val="Style16"/>
    <w:qFormat/>
    <w:pPr>
      <w:keepNext w:val="true"/>
      <w:spacing w:before="240" w:after="120"/>
    </w:pPr>
    <w:rPr>
      <w:rFonts w:ascii="PT Astra Serif" w:hAnsi="PT Astra Serif" w:eastAsia="Tahoma" w:cs="Noto Sans Devanagari"/>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ascii="PT Astra Serif" w:hAnsi="PT Astra Serif" w:cs="Noto Sans Devanagari"/>
    </w:rPr>
  </w:style>
  <w:style w:type="paragraph" w:styleId="Style18">
    <w:name w:val="Caption"/>
    <w:basedOn w:val="Normal"/>
    <w:qFormat/>
    <w:pPr>
      <w:suppressLineNumbers/>
      <w:spacing w:before="120" w:after="120"/>
    </w:pPr>
    <w:rPr>
      <w:rFonts w:ascii="PT Astra Serif" w:hAnsi="PT Astra Serif" w:cs="Noto Sans Devanagari"/>
      <w:i/>
      <w:iCs/>
      <w:sz w:val="24"/>
      <w:szCs w:val="24"/>
    </w:rPr>
  </w:style>
  <w:style w:type="paragraph" w:styleId="Style19">
    <w:name w:val="Указатель"/>
    <w:basedOn w:val="Normal"/>
    <w:qFormat/>
    <w:pPr>
      <w:suppressLineNumbers/>
    </w:pPr>
    <w:rPr>
      <w:rFonts w:ascii="PT Astra Serif" w:hAnsi="PT Astra Serif" w:cs="Noto Sans Devanagari"/>
    </w:rPr>
  </w:style>
  <w:style w:type="paragraph" w:styleId="ListParagraph">
    <w:name w:val="List Paragraph"/>
    <w:basedOn w:val="Normal"/>
    <w:link w:val="Style14"/>
    <w:uiPriority w:val="34"/>
    <w:qFormat/>
    <w:rsid w:val="004d2332"/>
    <w:pPr>
      <w:spacing w:lineRule="auto" w:line="259" w:before="0" w:after="160"/>
      <w:ind w:left="720" w:hanging="0"/>
      <w:contextualSpacing/>
    </w:pPr>
    <w:rPr>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5CD84740809D7D9A91474D4A1F80E3048E231FB8D95ABE15BB1EAF6E70259F97101AED8219B03005C279AD96F45BD953026845085l85CJ" TargetMode="External"/><Relationship Id="rId3" Type="http://schemas.openxmlformats.org/officeDocument/2006/relationships/hyperlink" Target="consultantplus://offline/ref=95CD84740809D7D9A91474D4A1F80E3048E436F48B95ABE15BB1EAF6E70259F97101AEDC219B0B5F59328B816344A38B323A9852878ElB50J" TargetMode="External"/><Relationship Id="rId4" Type="http://schemas.openxmlformats.org/officeDocument/2006/relationships/hyperlink" Target="consultantplus://offline/ref=95CD84740809D7D9A91474D4A1F80E3048E436F48B95ABE15BB1EAF6E70259F97101AEDC21990C5F59328B816344A38B323A9852878ElB50J" TargetMode="External"/><Relationship Id="rId5" Type="http://schemas.openxmlformats.org/officeDocument/2006/relationships/hyperlink" Target="consultantplus://offline/ref=95CD84740809D7D9A91474D4A1F80E3048E230F58893ABE15BB1EAF6E70259F97101AEDC2098005D0A689B852A10AE9432268652998EB020l451J" TargetMode="External"/><Relationship Id="rId6" Type="http://schemas.openxmlformats.org/officeDocument/2006/relationships/hyperlink" Target="consultantplus://offline/ref=95CD84740809D7D9A91474D4A1F80E3048E230F58893ABE15BB1EAF6E70259F97101AEDF209C0C5F59328B816344A38B323A9852878ElB50J" TargetMode="External"/><Relationship Id="rId7" Type="http://schemas.openxmlformats.org/officeDocument/2006/relationships/hyperlink" Target="consultantplus://offline/ref=95CD84740809D7D9A91474D4A1F80E3048E230F58893ABE15BB1EAF6E70259F97101AEDF209E0A5F59328B816344A38B323A9852878ElB50J" TargetMode="External"/><Relationship Id="rId8" Type="http://schemas.openxmlformats.org/officeDocument/2006/relationships/hyperlink" Target="consultantplus://offline/ref=95CD84740809D7D9A91474D4A1F80E3048E230F58893ABE15BB1EAF6E70259F97101AEDF20910E5F59328B816344A38B323A9852878ElB50J" TargetMode="External"/><Relationship Id="rId9" Type="http://schemas.openxmlformats.org/officeDocument/2006/relationships/hyperlink" Target="consultantplus://offline/ref=95CD84740809D7D9A91474D4A1F80E3048E231FB8D95ABE15BB1EAF6E70259F97101AEDF269B085F59328B816344A38B323A9852878ElB50J" TargetMode="Externa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Application>LibreOffice/7.5.3.2$Linux_X86_64 LibreOffice_project/50$Build-2</Application>
  <AppVersion>15.0000</AppVersion>
  <Pages>3</Pages>
  <Words>867</Words>
  <Characters>6388</Characters>
  <CharactersWithSpaces>7231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2025-02-20T10:51:00Z</dcterms:created>
  <dc:creator>Патронников Дмитрий Эдуардович</dc:creator>
  <dc:description/>
  <dc:language>ru-RU</dc:language>
  <cp:lastModifiedBy/>
  <dcterms:modified xsi:type="dcterms:W3CDTF">2025-05-12T15:22:37Z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