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header5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7655" w:leader="none"/>
        </w:tabs>
        <w:spacing w:lineRule="auto" w:line="240" w:before="0" w:after="0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№ 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0"/>
        <w:spacing w:before="0" w:after="0"/>
        <w:ind w:hanging="0" w:left="-142" w:right="0"/>
        <w:rPr/>
      </w:pPr>
      <w:r>
        <w:rPr/>
        <w:t xml:space="preserve"> </w:t>
      </w:r>
      <w:r>
        <w:rPr/>
        <w:t>г. Санкт-Петербург</w:t>
        <w:tab/>
        <w:tab/>
        <w:tab/>
        <w:tab/>
        <w:tab/>
        <w:t>Электронный магазин АИС ГЗ октябрь 2025 г</w:t>
      </w:r>
    </w:p>
    <w:p>
      <w:pPr>
        <w:pStyle w:val="0"/>
        <w:ind w:firstLine="147" w:left="4248" w:right="0"/>
        <w:jc w:val="center"/>
        <w:rPr/>
      </w:pPr>
      <w:r>
        <w:rPr/>
        <w:t>Реестровый номер закупки ______________</w:t>
      </w:r>
    </w:p>
    <w:p>
      <w:pPr>
        <w:pStyle w:val="Normal"/>
        <w:tabs>
          <w:tab w:val="clear" w:pos="709"/>
          <w:tab w:val="left" w:pos="7655" w:leader="none"/>
        </w:tabs>
        <w:spacing w:before="0" w:after="0"/>
        <w:ind w:hanging="4253" w:left="4253"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8496B0"/>
          <w:sz w:val="24"/>
          <w:szCs w:val="24"/>
        </w:rPr>
      </w:pPr>
      <w:r>
        <w:rPr>
          <w:rFonts w:ascii="Times New Roman" w:hAnsi="Times New Roman"/>
          <w:color w:val="8496B0"/>
          <w:sz w:val="24"/>
          <w:szCs w:val="24"/>
        </w:rPr>
      </w:r>
    </w:p>
    <w:p>
      <w:pPr>
        <w:pStyle w:val="BodyTextInden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____________________________________ именуемое в дальнейшем «Поставщик», в лице ________________________________, действующего на основании __________, с одной стороны, и 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 – заместителя генерального директора Беляева Анатолия Николаевича, действующего на основании доверенности от </w:t>
      </w:r>
      <w:r>
        <w:rPr>
          <w:sz w:val="26"/>
          <w:szCs w:val="26"/>
        </w:rPr>
        <w:t>№183 от 17.12.2024,</w:t>
      </w:r>
      <w:r>
        <w:rPr>
          <w:rFonts w:eastAsia="Calibri"/>
          <w:sz w:val="24"/>
          <w:szCs w:val="24"/>
          <w:lang w:eastAsia="en-US"/>
        </w:rPr>
        <w:t>, с другой стороны, вместе именуемые «Стороны», заключили настоящий Договор о нижеследующем:</w:t>
      </w:r>
    </w:p>
    <w:p>
      <w:pPr>
        <w:pStyle w:val="BodyTextIndent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Indent"/>
        <w:numPr>
          <w:ilvl w:val="0"/>
          <w:numId w:val="0"/>
        </w:numPr>
        <w:tabs>
          <w:tab w:val="clear" w:pos="1080"/>
          <w:tab w:val="left" w:pos="0" w:leader="none"/>
        </w:tabs>
        <w:ind w:hanging="0" w:left="0"/>
        <w:jc w:val="center"/>
        <w:rPr>
          <w:sz w:val="24"/>
          <w:szCs w:val="24"/>
        </w:rPr>
      </w:pPr>
      <w:r>
        <w:rPr>
          <w:sz w:val="24"/>
          <w:szCs w:val="24"/>
        </w:rPr>
        <w:t>1. ПРЕДМЕТ ДОГОВОРА</w:t>
      </w:r>
    </w:p>
    <w:p>
      <w:pPr>
        <w:pStyle w:val="BodyTextIndent"/>
        <w:numPr>
          <w:ilvl w:val="0"/>
          <w:numId w:val="0"/>
        </w:numPr>
        <w:tabs>
          <w:tab w:val="clear" w:pos="1080"/>
          <w:tab w:val="left" w:pos="0" w:leader="none"/>
        </w:tabs>
        <w:ind w:hanging="0" w:left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  <w:sz w:val="24"/>
          <w:szCs w:val="24"/>
        </w:rPr>
        <w:t>1.1.</w:t>
        <w:tab/>
        <w:t>В соответствии с настоящим договором и приложениями к нему Пост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авщик обязуется поставить и передать в собственность, а «Покупатель» – принять и оплатить 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 активатор сигнала для измерения воздушного зазора клапана электромагнитных форсунок «CR-Active» </w:t>
      </w:r>
      <w:r>
        <w:rPr>
          <w:rFonts w:eastAsia="Times New Roman" w:cs="Times New Roman" w:ascii="Times New Roman" w:hAnsi="Times New Roman"/>
          <w:sz w:val="24"/>
          <w:szCs w:val="24"/>
        </w:rPr>
        <w:t>(далее – Товар) в количестве, ассорти</w:t>
      </w:r>
      <w:r>
        <w:rPr>
          <w:rFonts w:ascii="Times New Roman" w:hAnsi="Times New Roman"/>
          <w:sz w:val="24"/>
          <w:szCs w:val="24"/>
        </w:rPr>
        <w:t>менте и по цене согласно Спецификации (Приложение № 1 к договору) и Техническому заданию (Приложение №2 к договору), являющимися неотъемлемой частью договора.</w:t>
      </w:r>
    </w:p>
    <w:p>
      <w:pPr>
        <w:pStyle w:val="3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 xml:space="preserve">2.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СРОКИ И ПОРЯДОК РАСЧЕТОВ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6"/>
          <w:szCs w:val="26"/>
          <w:highlight w:val="none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2.1.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>Цена договора составляет ____________ руб. __ коп. (_______ рублей __ коп.), НДС не облагается по ст. 145 НК РФ/ в том числе НДС 5% (или 7%) в сумме/в том числе НДС 20% (или 10%/0%) в сумме __________ руб. __ коп. Изменение ставки НДС, а также применение (утрата) Поставщиком права на освобождение от НДС (ст.145 НК РФ), не влечет за собой изменение суммы договора и /или цены единичных расценок с учетом НДС.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случае изменения применяемой ставки НДС, а также применения (утраты) Поставщиком права на освобождение от НДС, Поставщик обязан сообщить об этом Покупателю в течении 2 рабочих дней с момента наступления такого события. Стороны подписывают Дополнительное соглашение об изменении применяемой Поставщиком ставке НДС с соответствующей корректировкой настоящего пункта и спецификации (расчета цены договора).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В цену договора включены: стоимость Товара, расходы на перевозку (доставку) Товара грузополучателю, расположенному по адресу, указанному в п. 3.4 настоящего договора; стоимость тары (упаковки), страхования; погрузо-разгрузочные работы, а также расходы на сборку, настройку и опробование Товара; все предусмотренные налоги и сборы.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2.2</w:t>
        <w:tab/>
        <w:t>Цена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 предусмотренных договором ассортимента, количества, качества поставляемого Товара и иных условий исполнения договора, а также в иных случаях, предусмотренных законодательством Российской Федерации.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2.3.</w:t>
        <w:tab/>
        <w:t>Покупатель производит оплату только за фактически поставленный Товар на основании сопроводительных документов – счета, счета-фактуры (при наличии), и подписанной обеими Сторонами товарной накладной (УПД). Указанные документы должны быть представлены Поставщиком с сопроводительным письмом одновременно с поставкой оборудования и окончанием работ, связанных со сборкой, настройкой, опробованием поставленного Товара.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Авансирование договором не предусмотрено.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2.4.</w:t>
        <w:tab/>
        <w:t xml:space="preserve">Поставщик обязуется оформить бухгалтерские документы в соответствии со следующими требованиями: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2.4.1.</w:t>
        <w:tab/>
        <w:t>В счете указывать: в строке Плательщик (Покупатель) – СПб ГУП «Пассажиравтотранс», 195197, Санкт-Петербург, Полюстровский пр., д. 39, ИНН / КПП 7830001758 / 785150001.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2.4.2.</w:t>
        <w:tab/>
        <w:t>В товарной накладной указывать: в строке Покупатель – СПб ГУП «Пассажиравтотранс», 195197, Санкт-Петербург, Полюстровский пр., д. 39, ИНН / КПП 7830001758 / 785150001.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2.4.3.</w:t>
        <w:tab/>
        <w:t>В счете-фактуре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2.4.4.   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2.5.</w:t>
        <w:tab/>
        <w:t>Оплата поставленного Товара осуществляется за счет средств Покупателя.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2.6.</w:t>
        <w:tab/>
        <w:t>Покупатель осуществляет расчеты с Поставщиком путем безналичного перечисления денежных средств на расчетный счет Поставщика, указанный в разделе 11 настоящего договора.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Покупатель производит оплату стоимости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в срок не более 7 (семи) рабочих дней с даты приемки Товара (подписания Покупателем товарной накладной).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2.6.1.</w:t>
        <w:tab/>
        <w:t xml:space="preserve">Обязательства Покупателя по оплате Товара считаются исполненными с момента списания денежных средств с расчетного счета Покупателя.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2.6.2.</w:t>
        <w:tab/>
        <w:t>В случае, если договор заключается с юридическим лицом или физическим лицом, в том числе зарегистрированным в качестве индивидуального предпринимателя, сумма, подлежащая уплате Покупателем, уменьшается на размер налогов, сборов и иных обязательных платежей в бюджеты бюджетной системы Российской, связанных с оплатой договора, если в 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2.7.</w:t>
        <w:tab/>
        <w:t>Банковское сопровождение не предусмотрено.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2.8.</w:t>
        <w:tab/>
        <w:t xml:space="preserve">Первичные учетные документы должны быть оформлены в соответствии с требованиями Федерального закона от 06.12.2011 N 402-ФЗ "О бухгалтерском учете".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№ 1137.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В соответствии со статьей 2 Закона № 371-ФЗ 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Поставщик при поставке Товаров, подлежащих прослеживаемости, обязан выставлять в электронной форме счета-фактуры,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через оператора электронного документооборота, согласованного с Покупателем.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Неверно оформленные первичные учетные документы и счета-фактуры, в том числе с арифметическими ошибками, подлежат возврату и замене, а срок оплаты сдвигается на срок, в течение которого Поставщиком будут произведены необходимые исправления и передача исправленных документов Покупателю.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2.9.</w:t>
        <w:tab/>
        <w:t>В течение 10 календарных дней после выполнения сторонами договорных обязательств Поставщик по требованию Покупателя обязан произвести сверку взаимных расчетов между Сторонами за поставленный товар с оформлением и подписанием Акта сверки.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ПОРЯДОК И СРОКИ ПОСТАВКИ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</w:t>
        <w:tab/>
        <w:t>Поставщик гарантирует, что Товар принадлежит ему на праве собственности, в залоге и под арестом не состоит.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Срок поставки товара, включая подключение, сборку, настройку, опробование:  до 31.10.2025. 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3.3. Поставщик при поставке товара должен  учесть график работы складов автобусных парков (по рабочим дням с 8:00 до 16:00 часов, обед с 12:00 до 13:00 часов; в пятницу, а также в предпраздничные дни – до 15:00).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</w:t>
        <w:tab/>
        <w:t xml:space="preserve">О готовности к отгрузке Товара Поставщик обязан информировать Покупателя посредством электронной почты (e-mail Покупателя  </w:t>
      </w:r>
      <w:r>
        <w:rPr>
          <w:rFonts w:ascii="Times New Roman" w:hAnsi="Times New Roman"/>
          <w:sz w:val="24"/>
          <w:szCs w:val="24"/>
          <w:lang w:val="en-US"/>
        </w:rPr>
        <w:t>pakhomov_vr@avtobus.spb.ru</w:t>
      </w:r>
      <w:r>
        <w:rPr>
          <w:rFonts w:ascii="Times New Roman" w:hAnsi="Times New Roman"/>
          <w:sz w:val="24"/>
          <w:szCs w:val="24"/>
        </w:rPr>
        <w:t>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3.5.</w:t>
        <w:tab/>
        <w:t xml:space="preserve">Адрес и реквизиты грузополучателя – Покупателя: </w:t>
      </w:r>
    </w:p>
    <w:tbl>
      <w:tblPr>
        <w:tblW w:w="1063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333"/>
        <w:gridCol w:w="5459"/>
        <w:gridCol w:w="1497"/>
        <w:gridCol w:w="1346"/>
      </w:tblGrid>
      <w:tr>
        <w:trPr>
          <w:trHeight w:val="577" w:hRule="atLeast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Автобусный парк (грузополучатель)</w:t>
            </w:r>
          </w:p>
        </w:tc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ind w:hanging="0" w:left="283" w:right="-14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ind w:hanging="0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КПП</w:t>
            </w:r>
          </w:p>
        </w:tc>
      </w:tr>
      <w:tr>
        <w:trPr>
          <w:trHeight w:val="911" w:hRule="atLeast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ind w:hanging="0" w:left="0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Автобусный парк №2</w:t>
            </w:r>
          </w:p>
        </w:tc>
        <w:tc>
          <w:tcPr>
            <w:tcW w:w="5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ind w:hanging="0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197375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, СПб, ул. Автобусная, д. 8</w:t>
            </w:r>
          </w:p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ind w:hanging="0" w:left="0" w:right="-142"/>
              <w:jc w:val="lef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783 000 1758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76" w:before="0" w:after="0"/>
              <w:ind w:firstLine="567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ind w:hanging="0" w:left="0" w:right="-142"/>
              <w:jc w:val="lef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781 443 001</w:t>
            </w:r>
          </w:p>
        </w:tc>
      </w:tr>
    </w:tbl>
    <w:p>
      <w:pPr>
        <w:pStyle w:val="Normal"/>
        <w:widowControl w:val="false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3.6.</w:t>
        <w:tab/>
        <w:t>Поставщик должен доставить поставляемый товар в Автобусный парк, осуществить при необходимости его сборку, подключение, настройку и опробование</w:t>
      </w:r>
      <w:r>
        <w:rPr/>
        <w:t xml:space="preserve"> (</w:t>
      </w:r>
      <w:r>
        <w:rPr>
          <w:rFonts w:ascii="Times New Roman" w:hAnsi="Times New Roman"/>
          <w:sz w:val="24"/>
          <w:szCs w:val="24"/>
        </w:rPr>
        <w:t>проверку работы), провести инструктаж персонала покупателя по работе с поставленным товаром.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3.7.</w:t>
        <w:tab/>
        <w:t xml:space="preserve">Поставка Товара сопровождается следующими документами, подписанными уполномоченными лицами: 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3.7.1</w:t>
        <w:tab/>
        <w:t>Первичные учетные документы: счет, счет-фактура, товарная накладная, с указанием в ней полного наименования Товара, обозначения, количества и цены (в строгом соответствии со Спецификацией), акт сдачи-приемки оборудования (Приложение № 3 к договору, заполняется и подписывается при окончательной приемке товара).</w:t>
      </w:r>
    </w:p>
    <w:p>
      <w:pPr>
        <w:pStyle w:val="21"/>
        <w:ind w:firstLine="567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3.7.1.1</w:t>
        <w:tab/>
        <w:t>Оригиналы первичных учетных документов, подтверждающих факт поставки Товара, направляются Поставщиком грузополучателю – Покупателю с сопроводительным письмом (</w:t>
      </w:r>
      <w:r>
        <w:rPr>
          <w:rFonts w:eastAsia="Calibri"/>
          <w:szCs w:val="24"/>
          <w:lang w:eastAsia="en-US"/>
        </w:rPr>
        <w:t>Приложение № 5</w:t>
      </w:r>
      <w:bookmarkStart w:id="0" w:name="_GoBack"/>
      <w:bookmarkEnd w:id="0"/>
      <w:r>
        <w:rPr>
          <w:rFonts w:eastAsia="Calibri"/>
          <w:szCs w:val="24"/>
          <w:lang w:eastAsia="en-US"/>
        </w:rPr>
        <w:t xml:space="preserve"> к договору</w:t>
      </w:r>
      <w:r>
        <w:rPr>
          <w:rFonts w:eastAsia="Calibri" w:eastAsiaTheme="minorHAnsi"/>
          <w:lang w:eastAsia="en-US"/>
        </w:rPr>
        <w:t>), составленным в двух экземплярах, с обязательным наличием исходящего номера и даты, а также подписи лица, имеющего право действовать от имени Поставщика.</w:t>
      </w:r>
    </w:p>
    <w:p>
      <w:pPr>
        <w:pStyle w:val="21"/>
        <w:ind w:firstLine="567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3.7.1.2</w:t>
        <w:tab/>
        <w:t xml:space="preserve">Допускается направление первичных учетных документов следующими способами: </w:t>
      </w:r>
    </w:p>
    <w:p>
      <w:pPr>
        <w:pStyle w:val="21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 xml:space="preserve">- через почтовое отделение, </w:t>
      </w:r>
    </w:p>
    <w:p>
      <w:pPr>
        <w:pStyle w:val="21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 xml:space="preserve">- нарочным, </w:t>
      </w:r>
    </w:p>
    <w:p>
      <w:pPr>
        <w:pStyle w:val="21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- курьером.</w:t>
      </w:r>
    </w:p>
    <w:p>
      <w:pPr>
        <w:pStyle w:val="21"/>
        <w:ind w:firstLine="567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В случае направления документов нарочным либо курьером, на экземпляре сопроводительного письма, остающегося в делопроизводстве Покупателя, либо представленном первичном учетном документе, нарочный либо курьер собственноручно проставляет отметку о дате его представления.</w:t>
      </w:r>
    </w:p>
    <w:p>
      <w:pPr>
        <w:pStyle w:val="21"/>
        <w:ind w:firstLine="567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3.7.2.</w:t>
        <w:tab/>
        <w:t>Техническая и эксплуатационная документация на русском языке (паспорт изделия, инструкция по эксплуатации), включая технологию технического обслуживания.</w:t>
      </w:r>
    </w:p>
    <w:p>
      <w:pPr>
        <w:pStyle w:val="Heading1"/>
        <w:shd w:val="clear" w:color="auto" w:fill="FFFFFF"/>
        <w:spacing w:beforeAutospacing="0" w:before="225" w:afterAutospacing="0" w:after="225"/>
        <w:ind w:firstLine="567" w:left="0" w:right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highlight w:val="white"/>
        </w:rPr>
        <w:t>3.8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>.</w:t>
        <w:tab/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highlight w:val="white"/>
          <w:lang w:eastAsia="en-US"/>
        </w:rPr>
        <w:t xml:space="preserve">При исполнении договора по согласованию Покупателя с Поставщиком (подрядчиком, исполнителем) допускается поставка (использование)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</w:t>
        <w:br/>
        <w:t>в договоре, при условии соблюдения положений статьи 3.1-4 223-ФЗ и положений Постановления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>.</w:t>
      </w:r>
    </w:p>
    <w:p>
      <w:pPr>
        <w:pStyle w:val="12"/>
        <w:ind w:firstLine="567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/>
          <w:sz w:val="24"/>
          <w:szCs w:val="24"/>
          <w:highlight w:val="white"/>
        </w:rPr>
      </w:r>
    </w:p>
    <w:p>
      <w:pPr>
        <w:pStyle w:val="12"/>
        <w:ind w:firstLine="567"/>
        <w:jc w:val="both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ПОРЯДОК ПРИЕМКИ ТОВАРА ПО КОЛИЧЕСТВУ И АССОРТИМЕНТУ.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КАЧЕСТВО ПОСТАВЛЯЕМОЙ ПРОДУКЦИИ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4.1.</w:t>
        <w:tab/>
        <w:t>Качество Товара должно соответствовать ГОСТ (ОСТ, ТУ, ТР) на данный вид Товара, в том числе Техническому регламенту Таможенного союза ТР ТС 010 / 2011 «О безопасности машин и оборудования».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Соответствие должно подтверждаться сертификатами качества (декларациями соответствия), санитарными и техническими паспортами, передаваемыми «Покупателю» вместе с Товаром. 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 выполнении работ по сборке, настройке, опробованию товара должны соблюдаться предусмотренные законодательством правила безопасного проведения работ, пожарной и электробезопасности, а также правила внутреннего распорядка автобусных парков.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4.2.</w:t>
        <w:tab/>
        <w:t xml:space="preserve">На поставляемый согласно данному договору Товар Поставщик в случае, если Товар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 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Если Товар не подлежит обязательной сертификации, Поставщик должен при осуществлении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4.3.</w:t>
        <w:tab/>
        <w:t xml:space="preserve">Наличие сертификата (декларации соответствия) или отказного письма, санитарного или технического паспортов не освобождает Поставщика от ответственности за поставку Товара ненадлежащего качества.  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4.4.</w:t>
        <w:tab/>
        <w:t>Поставляемый Товар должен быть новым (</w:t>
      </w:r>
      <w:r>
        <w:rPr>
          <w:sz w:val="24"/>
          <w:szCs w:val="24"/>
        </w:rPr>
        <w:t>не бывшим в эксплуатации, изготовленным не ранее 2025 года</w:t>
      </w:r>
      <w:r>
        <w:rPr>
          <w:rFonts w:eastAsia="Calibri"/>
          <w:sz w:val="24"/>
          <w:szCs w:val="24"/>
          <w:lang w:eastAsia="en-US"/>
        </w:rPr>
        <w:t xml:space="preserve">), обеспечивать предусмотренную изготовителем функциональность. На Товаре не должно быть следов повреждений и изменений. Товар должен иметь необходимые маркировки, наклейки и пломбы в соответствии с законодательством РФ. 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4.5.</w:t>
        <w:tab/>
        <w:t>Товар должен быть поставлен в соответствующей упаковке, если это предусмотрено заводом–изготовителем), которая обеспечит полную его сохранность от повреждений при транспортировке.</w:t>
      </w:r>
    </w:p>
    <w:p>
      <w:pPr>
        <w:pStyle w:val="Normal"/>
        <w:widowControl w:val="false"/>
        <w:spacing w:lineRule="auto" w:line="240" w:before="0" w:after="80"/>
        <w:ind w:firstLine="567" w:left="0" w:righ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en-US"/>
        </w:rPr>
        <w:t>4.6.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>Товар должен быть укомплектован необходимой технической и эксплуатационной документацией (паспорта изделий, технические описания, руководства по эксплуатации с методикой поверки, план-схемы расстановки оборудования с указанием точек подключения и расположения коммуникаций, монтажные чертежи). Вся документация предоставляется на русском языке, чертежи и схемы – на бумажном носителе, а вся прочая документация – на бумажном или электронном носителе. Поставляемое оборудование комплектуется базовым набором инструмента, необходимыми материалами и техническими жидкостями, крепежными и соединительными элементами, кабелями, трубопроводами, аппаратурой управления и прочими необходимыми изделиями в объеме, достаточном для монтажа, подключения, поверки, опробования, ввода поставляемого оборудования в эксплуатацию и его работы.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4.7.</w:t>
        <w:tab/>
        <w:t>Приемка Товара осуществляется путем подписания Покупателем товарной накладной (или УПД) на территории Покупателя на основании сопроводительных документов в течение 2 рабочих дней после поставки Товара. Товар считается сданным Поставщиком и принятым Покупателем на территории Покупателя: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– </w:t>
      </w:r>
      <w:r>
        <w:rPr>
          <w:rFonts w:eastAsia="Calibri"/>
          <w:sz w:val="24"/>
          <w:szCs w:val="24"/>
          <w:lang w:eastAsia="en-US"/>
        </w:rPr>
        <w:t>по количеству – при его соответствии количеству, указанному в сопроводительных документах;</w:t>
      </w:r>
    </w:p>
    <w:p>
      <w:pPr>
        <w:pStyle w:val="3"/>
        <w:widowControl w:val="false"/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– </w:t>
      </w:r>
      <w:r>
        <w:rPr>
          <w:rFonts w:eastAsia="Calibri"/>
          <w:sz w:val="24"/>
          <w:szCs w:val="24"/>
          <w:lang w:eastAsia="en-US"/>
        </w:rPr>
        <w:t>по качеству – при его соответствии требованиям к маркировке, упаковке, ГОСТ (ОСТ, ТУ) на данный вид Товара и сертификатам качества завода-изготовителя. Приемка Товара по качеству осуществляется после выполнения Поставщиком</w:t>
      </w:r>
      <w:r>
        <w:rPr>
          <w:sz w:val="24"/>
          <w:szCs w:val="24"/>
        </w:rPr>
        <w:t xml:space="preserve"> сборки, настройки, опробования Товара и подписания Сторонами акта сдачи-приемки оборудования (Приложение № 3 к договору).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4.8.</w:t>
        <w:tab/>
        <w:t xml:space="preserve">При обнаружении дефектов товара (несоответствия Товара требованиям по качеству), Покупатель уведомляет Поставщика посредством электронной почты в течение 2-х рабочих дней с момента обнаружения. 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Адрес электронной почты Поставщика ________________. 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Не позднее 3-х рабочих дней с момента уведомления, уполномоченный представитель Поставщика обязан прибыть по указанному в уведомлении адресу для совместного составления Рекламационного акта (Приложение № 4 к договору). В случае неявки представителя Поставщика в указанный срок для составления Рекламационного акта, Покупатель вправе составить и подписать Рекламационный акт без участия Поставщика. В этом случае Рекламационный акт направляется Покупателем Поставщику посредством электронной почты на адрес _____________.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4.9.</w:t>
        <w:tab/>
        <w:t xml:space="preserve"> Поставщик обязан в течение 5 (пяти) рабочих дней с момента составления Рекламационного акта устранить выявленные дефекты или произвести замену некачественного Товара. При этом доставка Товара и его ответственное хранение осуществляется силами и за счет Поставщика.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4.10.</w:t>
        <w:tab/>
        <w:t>Поставщик предоставляет гарантию качества Товара в объеме не менее установленного заводом-изготовителем Товара, на срок не менее 12 месяцев. Срок гарантии качества исчисляется со дня подписания уполномоченным представителем Покупателя акта сдачи-приемки оборудования после окончания сборки, настройки, опробования Товара.</w:t>
      </w:r>
    </w:p>
    <w:p>
      <w:pPr>
        <w:pStyle w:val="3"/>
        <w:widowControl w:val="false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 случае выявления в течение гарантийного срока дефектов Товара, Поставщик обязан за свой счет устранить выявленные дефекты в соответствии с п. 4.8 – 4.9 настоящего Договора.</w:t>
      </w:r>
    </w:p>
    <w:p>
      <w:pPr>
        <w:pStyle w:val="3"/>
        <w:widowControl w:val="false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3"/>
        <w:widowControl w:val="false"/>
        <w:jc w:val="center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lang w:eastAsia="en-US"/>
        </w:rPr>
        <w:t>5. ФОРС-МАЖОР</w:t>
      </w:r>
    </w:p>
    <w:p>
      <w:pPr>
        <w:pStyle w:val="3"/>
        <w:widowControl w:val="false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</w:p>
    <w:p>
      <w:pPr>
        <w:pStyle w:val="3"/>
        <w:widowControl w:val="false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5.1. Сторона, не исполнившая или ненадлежащем образом исполнившая свои обязательства по Договору при выполнении его условий, не несет ответственности, если докажет, что надлежащее исполнение обязательств оказалось невозможным вследствие обстоятельств непреодолимой силы (форс-мажор), т.е. чрезвычайных и непредотвратимых обстоятельств при конкретных условиях конкретного периода времени. </w:t>
      </w:r>
    </w:p>
    <w:p>
      <w:pPr>
        <w:pStyle w:val="3"/>
        <w:widowControl w:val="false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5.2. К обстоятельствам непреодолимой силы относятся следующие: явления стихийного характера (землетрясение, наводнение, удар молнии, извержение вулкана, сель, оползень, цунами и т.п.), температуру, силу ветра и уровень осадков в месте исполнения обязательств по Договору, исключающих для человека нормальную жизнедеятельность; мораторий органов власти и управления; забастовки, организованные в установленном законом порядке, </w:t>
      </w:r>
    </w:p>
    <w:p>
      <w:pPr>
        <w:pStyle w:val="3"/>
        <w:widowControl w:val="false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>
      <w:pPr>
        <w:pStyle w:val="3"/>
        <w:widowControl w:val="false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5.3. При наступлении и прекращении вышеуказанных обстоятельств Сторона должна известить об этом в письменной форме другую Сторону в течение 3 (трех) дней с момента наступления указанных обстоятельств и предоставить документы компетентного органа, подтверждающего, что данное обстоятельство имело место. Извещение должно содержать данные о характере обстоятельств и их влияние на исполнение Стороной своих обязанностей по Договору, а также предполагаемый срок их исполнения.</w:t>
      </w:r>
    </w:p>
    <w:p>
      <w:pPr>
        <w:pStyle w:val="3"/>
        <w:widowControl w:val="false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widowControl w:val="false"/>
        <w:shd w:val="clear" w:color="auto" w:fill="FFFFFF"/>
        <w:spacing w:lineRule="exact" w:line="274"/>
        <w:ind w:firstLine="567" w:left="0"/>
        <w:jc w:val="center"/>
        <w:rPr>
          <w:bCs/>
          <w:highlight w:val="none"/>
        </w:rPr>
      </w:pPr>
      <w:r>
        <w:rPr>
          <w:bCs/>
        </w:rPr>
        <w:t>6. ОТВЕТСТВЕННОСТЬ СТОРОН</w:t>
      </w:r>
    </w:p>
    <w:p>
      <w:pPr>
        <w:pStyle w:val="ListParagraph"/>
        <w:widowControl w:val="false"/>
        <w:shd w:val="clear" w:color="auto" w:fill="FFFFFF"/>
        <w:spacing w:lineRule="exact" w:line="274"/>
        <w:ind w:firstLine="567" w:left="0"/>
        <w:jc w:val="center"/>
        <w:rPr>
          <w:bCs/>
          <w:highlight w:val="yellow"/>
        </w:rPr>
      </w:pPr>
      <w:r>
        <w:rPr>
          <w:bCs/>
          <w:highlight w:val="yellow"/>
        </w:rPr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6.1.</w:t>
        <w:tab/>
        <w:t>За неисполнение или ненадлежащее исполнение Поставщиком обязательств по договору устанавливаются следующие размеры штрафов (пеней):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6.1.1.</w:t>
        <w:tab/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о6язательства), предусмотренных договором, размер штрафа устанавливается в следующем порядке: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- 10 процентов цены договора, если цена договора не превышает 3 млн. рублей.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6.1.2.</w:t>
        <w:tab/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следующем порядке: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- 1 000 рублей, если цена договора не превышает 1 млн. рублей.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6.1.3.</w:t>
        <w:tab/>
        <w:t>В случае просрочки исполнения Поставщиком обязательств,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размере:</w:t>
      </w:r>
    </w:p>
    <w:p>
      <w:pPr>
        <w:pStyle w:val="Normal"/>
        <w:spacing w:before="16" w:after="0"/>
        <w:ind w:hanging="0" w:left="691"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0,3</w:t>
      </w:r>
      <w:r>
        <w:rPr>
          <w:rFonts w:eastAsia="Times New Roman"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%</w:t>
      </w:r>
      <w:r>
        <w:rPr>
          <w:rFonts w:eastAsia="Times New Roman"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от</w:t>
      </w:r>
      <w:r>
        <w:rPr>
          <w:rFonts w:eastAsia="Times New Roman" w:cs="Times New Roman" w:ascii="Times New Roman" w:hAnsi="Times New Roman"/>
          <w:spacing w:val="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стоимости</w:t>
      </w:r>
      <w:r>
        <w:rPr>
          <w:rFonts w:eastAsia="Times New Roman" w:cs="Times New Roman" w:ascii="Times New Roman" w:hAnsi="Times New Roman"/>
          <w:spacing w:val="23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неисполненного</w:t>
      </w:r>
      <w:r>
        <w:rPr>
          <w:rFonts w:eastAsia="Times New Roman" w:cs="Times New Roman" w:ascii="Times New Roman" w:hAnsi="Times New Roman"/>
          <w:spacing w:val="9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в</w:t>
      </w:r>
      <w:r>
        <w:rPr>
          <w:rFonts w:eastAsia="Times New Roman" w:cs="Times New Roman" w:ascii="Times New Roman" w:hAnsi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срок</w:t>
      </w:r>
      <w:r>
        <w:rPr>
          <w:rFonts w:eastAsia="Times New Roman" w:cs="Times New Roman" w:ascii="Times New Roman" w:hAnsi="Times New Roman"/>
          <w:spacing w:val="1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соответствующего</w:t>
      </w:r>
      <w:r>
        <w:rPr>
          <w:rFonts w:eastAsia="Times New Roman" w:cs="Times New Roman" w:ascii="Times New Roman" w:hAnsi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обязательства,</w:t>
      </w:r>
      <w:r>
        <w:rPr>
          <w:rFonts w:eastAsia="Times New Roman" w:cs="Times New Roman" w:ascii="Times New Roman" w:hAnsi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если</w:t>
      </w:r>
      <w:r>
        <w:rPr>
          <w:rFonts w:eastAsia="Times New Roman"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цена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hanging="0"/>
        <w:jc w:val="both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договора</w:t>
      </w:r>
      <w:r>
        <w:rPr>
          <w:rFonts w:eastAsia="Times New Roman" w:cs="Times New Roman" w:ascii="Times New Roman" w:hAnsi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не</w:t>
      </w:r>
      <w:r>
        <w:rPr>
          <w:rFonts w:eastAsia="Times New Roman" w:cs="Times New Roman" w:ascii="Times New Roman" w:hAnsi="Times New Roman"/>
          <w:spacing w:val="-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превышает</w:t>
      </w:r>
      <w:r>
        <w:rPr>
          <w:rFonts w:eastAsia="Times New Roman" w:cs="Times New Roman" w:ascii="Times New Roman" w:hAnsi="Times New Roman"/>
          <w:spacing w:val="2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spacing w:val="15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млн.</w:t>
      </w:r>
      <w:r>
        <w:rPr>
          <w:rFonts w:eastAsia="Times New Roman" w:cs="Times New Roman" w:ascii="Times New Roman" w:hAnsi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2"/>
          <w:sz w:val="24"/>
          <w:szCs w:val="24"/>
        </w:rPr>
        <w:t>рублей</w:t>
      </w:r>
    </w:p>
    <w:p>
      <w:pPr>
        <w:pStyle w:val="Normal"/>
        <w:tabs>
          <w:tab w:val="clear" w:pos="709"/>
          <w:tab w:val="left" w:pos="1109" w:leader="none"/>
        </w:tabs>
        <w:spacing w:lineRule="auto" w:line="235" w:before="0" w:after="57"/>
        <w:ind w:firstLine="709" w:left="0" w:right="117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80808"/>
          <w:sz w:val="24"/>
          <w:szCs w:val="24"/>
        </w:rPr>
        <w:t xml:space="preserve">6.1.4. В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случае просрочки исполнения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 xml:space="preserve"> 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Поставщиком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гарантийного обязательства, предусмотренного договором, начисляются пени. Пеня начисляется за каждый день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просрочки исполнения Поставщиком</w:t>
      </w:r>
      <w:r>
        <w:rPr>
          <w:rFonts w:eastAsia="Times New Roman" w:cs="Times New Roman" w:ascii="Times New Roman" w:hAnsi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>(подрядчиком, исполнителем) гарантийных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pacing w:val="-6"/>
          <w:sz w:val="24"/>
          <w:szCs w:val="24"/>
        </w:rPr>
        <w:t xml:space="preserve">обязательств, </w:t>
      </w:r>
      <w:r>
        <w:rPr>
          <w:rFonts w:eastAsia="Times New Roman" w:cs="Times New Roman" w:ascii="Times New Roman" w:hAnsi="Times New Roman"/>
          <w:sz w:val="24"/>
          <w:szCs w:val="24"/>
        </w:rPr>
        <w:t>предусмотренных договором,</w:t>
      </w:r>
      <w:r>
        <w:rPr>
          <w:rFonts w:eastAsia="Times New Roman" w:cs="Times New Roman" w:ascii="Times New Roman" w:hAnsi="Times New Roman"/>
          <w:spacing w:val="4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и устанавливается </w:t>
      </w:r>
      <w:r>
        <w:rPr>
          <w:rFonts w:eastAsia="Times New Roman" w:cs="Times New Roman" w:ascii="Times New Roman" w:hAnsi="Times New Roman"/>
          <w:color w:val="0A0A0A"/>
          <w:sz w:val="24"/>
          <w:szCs w:val="24"/>
        </w:rPr>
        <w:t xml:space="preserve">в </w:t>
      </w:r>
      <w:r>
        <w:rPr>
          <w:rFonts w:eastAsia="Times New Roman" w:cs="Times New Roman" w:ascii="Times New Roman" w:hAnsi="Times New Roman"/>
          <w:sz w:val="24"/>
          <w:szCs w:val="24"/>
        </w:rPr>
        <w:t>размере:</w:t>
      </w:r>
    </w:p>
    <w:p>
      <w:pPr>
        <w:pStyle w:val="ListParagraph"/>
        <w:numPr>
          <w:ilvl w:val="0"/>
          <w:numId w:val="2"/>
        </w:numPr>
        <w:spacing w:lineRule="exact" w:line="267" w:before="0" w:after="0"/>
        <w:ind w:firstLine="709" w:left="0" w:right="11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pacing w:val="-6"/>
          <w:sz w:val="24"/>
          <w:szCs w:val="24"/>
        </w:rPr>
        <w:t>1000</w:t>
      </w:r>
      <w:r>
        <w:rPr>
          <w:rFonts w:eastAsia="Times New Roman" w:cs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рублей, если</w:t>
      </w:r>
      <w:r>
        <w:rPr>
          <w:rFonts w:eastAsia="Times New Roman" w:cs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цена</w:t>
      </w:r>
      <w:r>
        <w:rPr>
          <w:rFonts w:eastAsia="Times New Roman" w:cs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договора не</w:t>
      </w:r>
      <w:r>
        <w:rPr>
          <w:rFonts w:eastAsia="Times New Roman" w:cs="Times New Roman"/>
          <w:spacing w:val="-10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 xml:space="preserve">превышает </w:t>
      </w:r>
      <w:r>
        <w:rPr>
          <w:rFonts w:eastAsia="Times New Roman" w:cs="Times New Roman"/>
          <w:color w:val="080808"/>
          <w:spacing w:val="-6"/>
          <w:sz w:val="24"/>
          <w:szCs w:val="24"/>
        </w:rPr>
        <w:t>1</w:t>
      </w:r>
      <w:r>
        <w:rPr>
          <w:rFonts w:eastAsia="Times New Roman" w:cs="Times New Roman"/>
          <w:color w:val="080808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млн.</w:t>
      </w:r>
      <w:r>
        <w:rPr>
          <w:rFonts w:eastAsia="Times New Roman" w:cs="Times New Roman"/>
          <w:spacing w:val="-7"/>
          <w:sz w:val="24"/>
          <w:szCs w:val="24"/>
        </w:rPr>
        <w:t xml:space="preserve"> </w:t>
      </w:r>
      <w:r>
        <w:rPr>
          <w:rFonts w:eastAsia="Times New Roman" w:cs="Times New Roman"/>
          <w:spacing w:val="-6"/>
          <w:sz w:val="24"/>
          <w:szCs w:val="24"/>
        </w:rPr>
        <w:t>рублей;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6.1.5.</w:t>
        <w:tab/>
        <w:t>Общая сумма начисленных штрафных санкций за неисполнение или ненадлежащее исполнение Поставщиком, Покупателем обязательств, предусмотренных договором, не может превышать цену договора.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6.2.</w:t>
        <w:tab/>
        <w:t>Покупатель вправе произвести Поставщику оплату поставленных товаров за вычетом суммы неустойки (пеней, штрафов), начисленной Покупателем, в соответствии с настоящим Договором.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6.3.</w:t>
        <w:tab/>
        <w:t>Уплата штрафных санкций не освобождает Поставщика от исполнения обязательств по договору.</w:t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6.4.</w:t>
        <w:tab/>
        <w:t>Стороны соглашаются, что проценты в соответствии со статьей 317.1 Гражданского кодекса РФ не начисляются и не уплачиваются.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tabs>
          <w:tab w:val="clear" w:pos="709"/>
          <w:tab w:val="left" w:pos="0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spacing w:val="6"/>
          <w:sz w:val="24"/>
          <w:szCs w:val="24"/>
        </w:rPr>
        <w:t>7. ПОРЯДОК УРЕГУЛИРОВАНИЯ ВОЗМОЖНЫХ СПОРОВ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spacing w:val="6"/>
          <w:sz w:val="24"/>
          <w:szCs w:val="24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</w:t>
        <w:tab/>
        <w:t>Споры, возникающие при исполнении Договора, разрешаются путем переговоров. Соблюдение претензионного (досудебного) порядка урегулирования споров обязательно.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</w:t>
        <w:tab/>
        <w:t>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8. ИЗМЕНЕНИЕ И РАСТОРЖЕНИЕ ДОГОВОРА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BodyText21"/>
        <w:widowControl w:val="false"/>
        <w:ind w:firstLine="567"/>
        <w:rPr>
          <w:szCs w:val="24"/>
        </w:rPr>
      </w:pPr>
      <w:r>
        <w:rPr>
          <w:szCs w:val="24"/>
        </w:rPr>
        <w:t>8.1.</w:t>
        <w:tab/>
        <w:t>Все изменения и дополнения к настоящему договору должны быть оформлены в виде дополнительных соглашений, которые после их подписания Сторонами являются неотъемлемой частью договора. Дополнительные соглашения могут быть оформлены в электронной форме и подписаны электронной подписью каждой из Сторон.</w:t>
      </w:r>
    </w:p>
    <w:p>
      <w:pPr>
        <w:pStyle w:val="BodyText21"/>
        <w:widowControl w:val="false"/>
        <w:ind w:firstLine="567"/>
        <w:rPr>
          <w:szCs w:val="24"/>
        </w:rPr>
      </w:pPr>
      <w:r>
        <w:rPr>
          <w:szCs w:val="24"/>
        </w:rPr>
        <w:t>8.2.</w:t>
        <w:tab/>
        <w:t>Договор может быть расторгнут по соглашению Сторон.</w:t>
      </w:r>
    </w:p>
    <w:p>
      <w:pPr>
        <w:pStyle w:val="BodyText21"/>
        <w:widowControl w:val="false"/>
        <w:ind w:firstLine="567"/>
        <w:rPr>
          <w:szCs w:val="24"/>
        </w:rPr>
      </w:pPr>
      <w:r>
        <w:rPr>
          <w:szCs w:val="24"/>
        </w:rPr>
        <w:t>8.3.</w:t>
        <w:tab/>
        <w:t>Покупатель вправе расторгнуть настоящий договор в одностороннем порядке путем направления уведомления о расторжении. Уведомление направляется не менее чем за 14 (четырнадцать) календарных дней до предполагаемой даты расторжения.</w:t>
      </w:r>
    </w:p>
    <w:p>
      <w:pPr>
        <w:pStyle w:val="Normal"/>
        <w:spacing w:lineRule="auto" w:line="240" w:before="0" w:after="0"/>
        <w:ind w:firstLine="539"/>
        <w:jc w:val="both"/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2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ПРОЧИЕ УСЛОВИЯ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4"/>
        <w:widowControl w:val="false"/>
        <w:spacing w:beforeAutospacing="0" w:before="0" w:afterAutospacing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9.1.</w:t>
        <w:tab/>
        <w:t xml:space="preserve">Право собственности на Товар (в т.ч. риск случайной гибели или повреждения Товара) переходит от «Поставщика» к «Покупателю» с момента его передачи представителем «Поставщика» на склад «Покупателя» и подписания товарной накладной (или УПД) представителем «Покупателя». </w:t>
      </w:r>
    </w:p>
    <w:p>
      <w:pPr>
        <w:pStyle w:val="4"/>
        <w:widowControl w:val="false"/>
        <w:spacing w:beforeAutospacing="0" w:before="0" w:afterAutospacing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9.2.</w:t>
        <w:tab/>
        <w:t>Настоящий договор вступает в силу с момента его подписания Сторонами и действует до 31.12.2025, а в части оплаты – до полного исполнения обязательств. Срок поставки Товара – в соответствии с п. 3.2 настоящего договора</w:t>
      </w:r>
    </w:p>
    <w:p>
      <w:pPr>
        <w:pStyle w:val="4"/>
        <w:widowControl w:val="false"/>
        <w:spacing w:beforeAutospacing="0" w:before="0" w:afterAutospacing="0" w:after="0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9.3.</w:t>
        <w:tab/>
        <w:t>По всем вопросам, неурегулированным настоящим договором, Стороны руководствуются действующим законодательством Российской Федерации.</w:t>
      </w:r>
    </w:p>
    <w:p>
      <w:pPr>
        <w:pStyle w:val="Normal"/>
        <w:spacing w:before="0" w:after="0"/>
        <w:ind w:firstLine="567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/>
        </w:rPr>
        <w:t>9.4.</w:t>
        <w:tab/>
      </w:r>
      <w:r>
        <w:rPr>
          <w:rFonts w:eastAsia="Arial Unicode MS" w:ascii="Times New Roman" w:hAnsi="Times New Roman"/>
          <w:sz w:val="24"/>
          <w:szCs w:val="24"/>
          <w:lang w:eastAsia="ru-RU"/>
        </w:rPr>
        <w:t>Настоящий договор подписан электронной подписью каждой из Сторон договора.</w:t>
      </w:r>
    </w:p>
    <w:p>
      <w:pPr>
        <w:pStyle w:val="Normal"/>
        <w:spacing w:before="0" w:after="0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eastAsia="Arial Unicode MS" w:ascii="Times New Roman" w:hAnsi="Times New Roman"/>
          <w:sz w:val="24"/>
          <w:szCs w:val="24"/>
          <w:lang w:eastAsia="ru-RU"/>
        </w:rPr>
      </w:r>
    </w:p>
    <w:p>
      <w:pPr>
        <w:pStyle w:val="Normal"/>
        <w:tabs>
          <w:tab w:val="clear" w:pos="709"/>
          <w:tab w:val="left" w:pos="426" w:leader="none"/>
        </w:tabs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  <w:tab/>
        <w:t>ПРИЛОЖЕНИЯ К ДОГОВОРУ</w:t>
      </w:r>
    </w:p>
    <w:p>
      <w:pPr>
        <w:pStyle w:val="Normal"/>
        <w:tabs>
          <w:tab w:val="clear" w:pos="709"/>
          <w:tab w:val="left" w:pos="426" w:leader="none"/>
        </w:tabs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-180" w:leader="none"/>
          <w:tab w:val="left" w:pos="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10.1.</w:t>
        <w:tab/>
        <w:t>Спецификация (Приложение № 1)</w:t>
      </w:r>
    </w:p>
    <w:p>
      <w:pPr>
        <w:pStyle w:val="Normal"/>
        <w:tabs>
          <w:tab w:val="clear" w:pos="709"/>
          <w:tab w:val="left" w:pos="-180" w:leader="none"/>
          <w:tab w:val="left" w:pos="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10.2.</w:t>
        <w:tab/>
        <w:t xml:space="preserve">Образец Акта сдачи-приемки оборудования (Приложение №3) </w:t>
      </w:r>
    </w:p>
    <w:p>
      <w:pPr>
        <w:pStyle w:val="Normal"/>
        <w:tabs>
          <w:tab w:val="clear" w:pos="709"/>
          <w:tab w:val="left" w:pos="-180" w:leader="none"/>
          <w:tab w:val="left" w:pos="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10.3.</w:t>
        <w:tab/>
        <w:t xml:space="preserve">Образец Рекламационного Акта (Приложение № 4) </w:t>
      </w:r>
    </w:p>
    <w:p>
      <w:pPr>
        <w:pStyle w:val="Normal"/>
        <w:tabs>
          <w:tab w:val="clear" w:pos="709"/>
          <w:tab w:val="left" w:pos="-180" w:leader="none"/>
          <w:tab w:val="left" w:pos="0" w:leader="none"/>
          <w:tab w:val="left" w:pos="54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10.4.</w:t>
        <w:tab/>
        <w:t>Образец сопроводительного письма (Приложение № 5)</w:t>
      </w:r>
    </w:p>
    <w:p>
      <w:pPr>
        <w:pStyle w:val="4"/>
        <w:widowControl w:val="false"/>
        <w:spacing w:beforeAutospacing="0" w:before="0" w:afterAutospacing="0" w:after="0"/>
        <w:jc w:val="both"/>
        <w:rPr>
          <w:rFonts w:ascii="Times New Roman" w:hAnsi="Times New Roman" w:cs="Times New Roman"/>
          <w:highlight w:val="none"/>
        </w:rPr>
      </w:pPr>
      <w:r>
        <w:rPr>
          <w:rFonts w:cs="Times New Roman" w:ascii="Times New Roman" w:hAnsi="Times New Roman"/>
        </w:rPr>
      </w:r>
    </w:p>
    <w:p>
      <w:pPr>
        <w:pStyle w:val="3"/>
        <w:widowControl w:val="false"/>
        <w:jc w:val="center"/>
        <w:rPr>
          <w:sz w:val="24"/>
          <w:szCs w:val="24"/>
        </w:rPr>
      </w:pPr>
      <w:r>
        <w:rPr>
          <w:sz w:val="24"/>
          <w:szCs w:val="24"/>
        </w:rPr>
        <w:t>11. ЮРИДИЧЕСКИЕ АДРЕСА И ПОДПИСИ СТОРОН</w:t>
      </w:r>
    </w:p>
    <w:p>
      <w:pPr>
        <w:pStyle w:val="Normal"/>
        <w:widowControl w:val="false"/>
        <w:spacing w:lineRule="auto" w:line="240" w:before="0" w:after="0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3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a0" w:noHBand="0" w:lastColumn="0" w:firstColumn="1" w:lastRow="0" w:firstRow="1"/>
      </w:tblPr>
      <w:tblGrid>
        <w:gridCol w:w="5352"/>
        <w:gridCol w:w="4961"/>
      </w:tblGrid>
      <w:tr>
        <w:trPr>
          <w:trHeight w:val="444" w:hRule="atLeast"/>
        </w:trPr>
        <w:tc>
          <w:tcPr>
            <w:tcW w:w="5352" w:type="dxa"/>
            <w:tcBorders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>
        <w:trPr>
          <w:trHeight w:val="3118" w:hRule="atLeast"/>
        </w:trPr>
        <w:tc>
          <w:tcPr>
            <w:tcW w:w="5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унитарное предприятие пассажирского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автомобильного транспорта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(СПб ГУП «Пассажиравтотранс»)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195197, Санкт-Петербург, </w:t>
              <w:br/>
              <w:t>Полюстровский пр., д.39,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783 000 1758    КПП 785 150 001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ПАО «БАНК «САНКТ-ПЕТЕРБУРГ»</w:t>
            </w:r>
          </w:p>
          <w:p>
            <w:pPr>
              <w:pStyle w:val="Normal"/>
              <w:keepNext w:val="true"/>
              <w:numPr>
                <w:ilvl w:val="0"/>
                <w:numId w:val="0"/>
              </w:numPr>
              <w:spacing w:lineRule="auto" w:line="240" w:before="0" w:after="0"/>
              <w:ind w:hanging="0" w:left="0"/>
              <w:outlineLvl w:val="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Р/сч.: 40 602 810 145 000 001 954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К/сч.: 30 101 810 900 000 000 790</w:t>
            </w:r>
          </w:p>
          <w:p>
            <w:pPr>
              <w:pStyle w:val="BodyTextIndent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044 030 790,</w:t>
            </w:r>
          </w:p>
          <w:p>
            <w:pPr>
              <w:pStyle w:val="BodyTextIndent"/>
              <w:ind w:hanging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ОКВЭД2 49.31.21, ОКПО 05142928,</w:t>
            </w:r>
          </w:p>
          <w:p>
            <w:pPr>
              <w:pStyle w:val="BodyTextIndent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ОКТМО 40330000, </w:t>
            </w:r>
            <w:r>
              <w:rPr>
                <w:sz w:val="24"/>
                <w:szCs w:val="24"/>
              </w:rPr>
              <w:t>ОГРН 1027809247300</w:t>
            </w:r>
          </w:p>
        </w:tc>
      </w:tr>
      <w:tr>
        <w:trPr>
          <w:trHeight w:val="201" w:hRule="atLeast"/>
        </w:trPr>
        <w:tc>
          <w:tcPr>
            <w:tcW w:w="535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81" w:hRule="atLeast"/>
        </w:trPr>
        <w:tc>
          <w:tcPr>
            <w:tcW w:w="535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>
        <w:trPr>
          <w:trHeight w:val="181" w:hRule="atLeast"/>
        </w:trPr>
        <w:tc>
          <w:tcPr>
            <w:tcW w:w="5352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СПб ГУП «Пассажиравтотранс»</w:t>
            </w:r>
          </w:p>
        </w:tc>
      </w:tr>
      <w:tr>
        <w:trPr>
          <w:trHeight w:val="1080" w:hRule="atLeast"/>
        </w:trPr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 ________________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49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 –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 А.Н. Беляев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851" w:footer="0" w:bottom="851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BodyText2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1 к Договору поставки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_______________________</w:t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 __________ 2025 г.</w:t>
      </w:r>
    </w:p>
    <w:p>
      <w:pPr>
        <w:pStyle w:val="BodyText2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СПЕЦИФИКАЦИЯ</w:t>
      </w:r>
    </w:p>
    <w:p>
      <w:pPr>
        <w:pStyle w:val="BodyText2"/>
        <w:widowControl w:val="false"/>
        <w:spacing w:lineRule="auto" w:line="240" w:before="0" w:after="0"/>
        <w:jc w:val="both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tbl>
      <w:tblPr>
        <w:tblStyle w:val="836"/>
        <w:tblW w:w="17205" w:type="dxa"/>
        <w:jc w:val="left"/>
        <w:tblInd w:w="-109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noVBand="1" w:val="04a0" w:noHBand="0" w:lastColumn="0" w:firstColumn="1" w:lastRow="0" w:firstRow="1"/>
      </w:tblPr>
      <w:tblGrid>
        <w:gridCol w:w="944"/>
        <w:gridCol w:w="4126"/>
        <w:gridCol w:w="944"/>
        <w:gridCol w:w="945"/>
        <w:gridCol w:w="946"/>
        <w:gridCol w:w="946"/>
        <w:gridCol w:w="4575"/>
        <w:gridCol w:w="945"/>
        <w:gridCol w:w="944"/>
        <w:gridCol w:w="947"/>
        <w:gridCol w:w="940"/>
      </w:tblGrid>
      <w:tr>
        <w:trPr>
          <w:trHeight w:val="1140" w:hRule="atLeast"/>
        </w:trPr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п/п</w:t>
            </w:r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Наименование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Марка, модель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Страна происхождения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Единица измерения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Коли-чество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Грузополучатели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 xml:space="preserve">Цена за ед.,  </w:t>
              <w:br/>
              <w:t>без НДС , руб.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Налоговая ставка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 xml:space="preserve">Цена за ед.,  </w:t>
              <w:br/>
              <w:t>с НДС , руб.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Сумма с НДС, руб.</w:t>
            </w:r>
          </w:p>
        </w:tc>
      </w:tr>
      <w:tr>
        <w:trPr>
          <w:trHeight w:val="960" w:hRule="atLeast"/>
        </w:trPr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1</w:t>
            </w:r>
          </w:p>
        </w:tc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9"/>
                <w:tab w:val="left" w:pos="525" w:leader="none"/>
                <w:tab w:val="left" w:pos="570" w:leader="none"/>
              </w:tabs>
              <w:suppressAutoHyphens w:val="true"/>
              <w:bidi w:val="0"/>
              <w:spacing w:lineRule="auto" w:line="240" w:beforeAutospacing="0" w:before="0" w:afterAutospacing="0" w:after="0"/>
              <w:ind w:hanging="0" w:left="0" w:right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Активатор сигнала для измерения воздушного зазора клапана электромагнитных форсунок «CR-Active</w:t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шт.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1</w:t>
            </w:r>
          </w:p>
        </w:tc>
        <w:tc>
          <w:tcPr>
            <w:tcW w:w="4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hanging="0" w:left="283" w:right="-142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Автобусный парк № 2  (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197375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, СПб, ул. Автобусная, д. 8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 w:eastAsia="en-US" w:bidi="ar-SA"/>
              </w:rPr>
              <w:t>)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widowControl w:val="false"/>
        <w:spacing w:lineRule="auto" w:line="240" w:before="0" w:after="0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5309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a0" w:noHBand="0" w:lastColumn="0" w:firstColumn="1" w:lastRow="0" w:firstRow="1"/>
      </w:tblPr>
      <w:tblGrid>
        <w:gridCol w:w="7937"/>
        <w:gridCol w:w="7371"/>
      </w:tblGrid>
      <w:tr>
        <w:trPr>
          <w:trHeight w:val="444" w:hRule="atLeast"/>
        </w:trPr>
        <w:tc>
          <w:tcPr>
            <w:tcW w:w="7937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737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>
        <w:trPr>
          <w:trHeight w:val="181" w:hRule="atLeast"/>
        </w:trPr>
        <w:tc>
          <w:tcPr>
            <w:tcW w:w="793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737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СПб ГУП «Пассажиравтотранс»</w:t>
            </w:r>
          </w:p>
        </w:tc>
      </w:tr>
      <w:tr>
        <w:trPr>
          <w:trHeight w:val="1080" w:hRule="atLeast"/>
        </w:trPr>
        <w:tc>
          <w:tcPr>
            <w:tcW w:w="7937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  _____________  ______________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737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 –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директора_________________ А.Н. Беляев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>
      <w:pPr>
        <w:sectPr>
          <w:headerReference w:type="default" r:id="rId2"/>
          <w:type w:val="nextPage"/>
          <w:pgSz w:orient="landscape" w:w="16838" w:h="11906"/>
          <w:pgMar w:left="851" w:right="567" w:gutter="0" w:header="426" w:top="754" w:footer="0" w:bottom="567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sectPr>
          <w:headerReference w:type="default" r:id="rId3"/>
          <w:headerReference w:type="first" r:id="rId4"/>
          <w:type w:val="nextPage"/>
          <w:pgSz w:w="11906" w:h="16838"/>
          <w:pgMar w:left="1134" w:right="567" w:gutter="0" w:header="709" w:top="766" w:footer="0" w:bottom="567"/>
          <w:pgNumType w:fmt="decimal"/>
          <w:formProt w:val="false"/>
          <w:textDirection w:val="lrTb"/>
          <w:docGrid w:type="default" w:linePitch="360" w:charSpace="4096"/>
        </w:sectPr>
        <w:pStyle w:val="BodyText2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nil" w:color="0000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Приложение № 3 к Договору поставки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_______________________</w:t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 __________ 2025 г.</w:t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 №_________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СДАЧИ - ПРИЁМКИ ОБОРУДОВАНИЯ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Санкт-Петербург                                                                                                «___»_________202_ 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Основание: договор № _______________ от «______» ________________________202__ г.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: 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Грузополучатель: Автобусный парк №  ____ - филиал СПб ГУП «Пассажиравтотранс»,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Адрес: _____________________________________ </w:t>
        <w:br/>
        <w:t>ИНН / КПП 781 443 001 / 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Покупатель: СПб ГУП «Пассажиравтотранс»,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195197, Санкт-Петербург, Полюстровский пр., д. 39, ИНН / КПП 7830001758 / 785150001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4750" w:type="pct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65"/>
        <w:gridCol w:w="3455"/>
        <w:gridCol w:w="5739"/>
      </w:tblGrid>
      <w:tr>
        <w:trPr>
          <w:tblHeader w:val="true"/>
          <w:trHeight w:val="671" w:hRule="atLeast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shape_0" adj="10800" stroked="t" o:allowincell="f" style="position:absolute;margin-left:12.2pt;margin-top:36.15pt;width:490.05pt;height:57.85pt;mso-wrap-style:none;v-text-anchor:middle;rotation:317" type="_x0000_t136">
                  <v:path textpathok="t"/>
                  <v:textpath on="t" fitshape="t" string="ОБРАЗЕЦ" style="font-family:&quot;Arial Black&quot;;font-size:36pt" trim="t"/>
                  <v:fill o:detectmouseclick="t" on="false"/>
                  <v:stroke color="black" weight="9360" joinstyle="round" endcap="flat"/>
                  <w10:wrap type="none"/>
                </v:shape>
              </w:pic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>
        <w:trPr/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18" w:leader="none"/>
              </w:tabs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FF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5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18" w:leader="none"/>
              </w:tabs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FF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</w:t>
            </w:r>
          </w:p>
        </w:tc>
        <w:tc>
          <w:tcPr>
            <w:tcW w:w="5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18" w:leader="none"/>
              </w:tabs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FF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5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18" w:leader="none"/>
              </w:tabs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FF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за 1 ед. (без НДС), руб.</w:t>
            </w:r>
          </w:p>
        </w:tc>
        <w:tc>
          <w:tcPr>
            <w:tcW w:w="5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18" w:leader="none"/>
              </w:tabs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FF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НДС руб.</w:t>
            </w:r>
          </w:p>
        </w:tc>
        <w:tc>
          <w:tcPr>
            <w:tcW w:w="5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18" w:leader="none"/>
              </w:tabs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FFFFF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с учетом НДС, руб.</w:t>
            </w:r>
          </w:p>
        </w:tc>
        <w:tc>
          <w:tcPr>
            <w:tcW w:w="5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Всего поставлено товара на сумму: ____________________________________ рублей ___ коп.,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 т.ч. НДС – ________________________________________________ рублей___ копеек.</w:t>
      </w:r>
    </w:p>
    <w:p>
      <w:pPr>
        <w:pStyle w:val="Normal"/>
        <w:tabs>
          <w:tab w:val="clear" w:pos="709"/>
          <w:tab w:val="left" w:pos="450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Вышеперечисленное оборудование поставлено, смонтировано и опробовано полностью/не полностью и в срок/с нарушением срока __________________________________________________________. 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Покупатель претензий по объему, качеству и срокам поставки и монтажа оборудования претензий не имеет/имеет.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9"/>
          <w:tab w:val="left" w:pos="450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-4140" w:leader="none"/>
          <w:tab w:val="left" w:pos="2160" w:leader="none"/>
          <w:tab w:val="left" w:pos="648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Грузополучатель (покупатель) АП № ____   _____________________________________________</w:t>
      </w:r>
    </w:p>
    <w:p>
      <w:pPr>
        <w:pStyle w:val="Normal"/>
        <w:tabs>
          <w:tab w:val="clear" w:pos="709"/>
          <w:tab w:val="left" w:pos="-4140" w:leader="none"/>
          <w:tab w:val="left" w:pos="2160" w:leader="none"/>
          <w:tab w:val="left" w:pos="648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ab/>
        <w:t>М.П.</w:t>
        <w:tab/>
      </w:r>
    </w:p>
    <w:p>
      <w:pPr>
        <w:pStyle w:val="Normal"/>
        <w:tabs>
          <w:tab w:val="clear" w:pos="709"/>
          <w:tab w:val="left" w:pos="-4140" w:leader="none"/>
          <w:tab w:val="left" w:pos="2160" w:leader="none"/>
          <w:tab w:val="left" w:pos="648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450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_____________________________________________________________________ </w:t>
      </w:r>
    </w:p>
    <w:p>
      <w:pPr>
        <w:pStyle w:val="Normal"/>
        <w:shd w:val="nil" w:color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</w:r>
      <w:r>
        <w:br w:type="page"/>
      </w:r>
    </w:p>
    <w:p>
      <w:pPr>
        <w:pStyle w:val="BodyText2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>Приложение № 4 к Договору поставки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_______________________</w:t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 __________ 2025 г.</w:t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РЕКЛАМАЦИОННЫЙ АКТ № ______</w:t>
      </w:r>
    </w:p>
    <w:p>
      <w:pPr>
        <w:pStyle w:val="Normal"/>
        <w:keepNext w:val="true"/>
        <w:spacing w:lineRule="auto" w:line="240" w:before="12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от «______» ______________   202_ года</w:t>
      </w:r>
    </w:p>
    <w:p>
      <w:pPr>
        <w:pStyle w:val="Normal"/>
        <w:keepNext w:val="true"/>
        <w:spacing w:lineRule="auto" w:line="240" w:before="0" w:after="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  <w:tab/>
        <w:t>Покупателем по договору от ____________ №_______________ обнаружены следующие недостатки Товара.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  <w:tab/>
      </w:r>
      <w:r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>
        <w:rPr>
          <w:rFonts w:ascii="Times New Roman" w:hAnsi="Times New Roman"/>
          <w:sz w:val="26"/>
          <w:szCs w:val="26"/>
        </w:rPr>
        <w:t xml:space="preserve"> _______________________________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shape_0" adj="12000" fillcolor="white" stroked="t" o:allowincell="f" style="position:absolute;margin-left:100.05pt;margin-top:2.25pt;width:294.65pt;height:302.35pt;mso-wrap-style:none;v-text-anchor:middle" type="_x0000_t172">
            <v:path textpathok="t"/>
            <v:textpath on="t" fitshape="t" string="ОБРАЗЕЦ" style="font-family:&quot;Arial Black&quot;;font-size:36pt" trim="t"/>
            <v:fill o:detectmouseclick="t" type="solid" color2="black"/>
            <v:stroke color="black" weight="9360" joinstyle="round" endcap="flat"/>
            <w10:wrap type="none"/>
          </v:shape>
        </w:pict>
      </w:r>
      <w:r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</w:t>
        <w:tab/>
      </w:r>
      <w:r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>
        <w:rPr>
          <w:rFonts w:ascii="Times New Roman" w:hAnsi="Times New Roman"/>
          <w:sz w:val="26"/>
          <w:szCs w:val="26"/>
        </w:rPr>
        <w:t xml:space="preserve"> ________________________________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  <w:tab/>
        <w:t>Рекламационный акт составлен в _________________ экземплярах, по одному для каждой из Сторон.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851" w:leader="none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  <w:tab/>
        <w:t>Рекламационный акт подписан:</w:t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keepNext w:val="true"/>
        <w:tabs>
          <w:tab w:val="clear" w:pos="709"/>
          <w:tab w:val="left" w:pos="1134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tbl>
      <w:tblPr>
        <w:tblW w:w="928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a0" w:noHBand="0" w:lastColumn="0" w:firstColumn="1" w:lastRow="0" w:firstRow="1"/>
      </w:tblPr>
      <w:tblGrid>
        <w:gridCol w:w="3525"/>
        <w:gridCol w:w="2556"/>
        <w:gridCol w:w="3206"/>
      </w:tblGrid>
      <w:tr>
        <w:trPr/>
        <w:tc>
          <w:tcPr>
            <w:tcW w:w="3525" w:type="dxa"/>
            <w:tcBorders/>
          </w:tcPr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 Покупателя</w:t>
            </w:r>
          </w:p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556" w:type="dxa"/>
            <w:tcBorders/>
          </w:tcPr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206" w:type="dxa"/>
            <w:tcBorders/>
          </w:tcPr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7470" w:leader="none"/>
        </w:tabs>
        <w:spacing w:lineRule="auto" w:line="240" w:before="0" w:after="0"/>
        <w:ind w:firstLine="709" w:left="0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tbl>
      <w:tblPr>
        <w:tblW w:w="928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a0" w:noHBand="0" w:lastColumn="0" w:firstColumn="1" w:lastRow="0" w:firstRow="1"/>
      </w:tblPr>
      <w:tblGrid>
        <w:gridCol w:w="3525"/>
        <w:gridCol w:w="2556"/>
        <w:gridCol w:w="3206"/>
      </w:tblGrid>
      <w:tr>
        <w:trPr/>
        <w:tc>
          <w:tcPr>
            <w:tcW w:w="3525" w:type="dxa"/>
            <w:tcBorders/>
          </w:tcPr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 Поставщика</w:t>
            </w:r>
          </w:p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556" w:type="dxa"/>
            <w:tcBorders/>
          </w:tcPr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</w:t>
            </w:r>
          </w:p>
        </w:tc>
        <w:tc>
          <w:tcPr>
            <w:tcW w:w="3206" w:type="dxa"/>
            <w:tcBorders/>
          </w:tcPr>
          <w:p>
            <w:pPr>
              <w:pStyle w:val="Normal"/>
              <w:keepNext w:val="true"/>
              <w:tabs>
                <w:tab w:val="clear" w:pos="709"/>
                <w:tab w:val="left" w:pos="1134" w:leader="none"/>
              </w:tabs>
              <w:spacing w:lineRule="auto" w:line="240" w:before="0"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_______________________</w:t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w="11906" w:h="16838"/>
          <w:pgMar w:left="1134" w:right="709" w:gutter="0" w:header="397" w:top="567" w:footer="0" w:bottom="567"/>
          <w:pgNumType w:fmt="decimal"/>
          <w:formProt w:val="false"/>
          <w:titlePg/>
          <w:textDirection w:val="lrTb"/>
          <w:docGrid w:type="default" w:linePitch="360" w:charSpace="4096"/>
        </w:sectPr>
      </w:pPr>
    </w:p>
    <w:p>
      <w:pPr>
        <w:pStyle w:val="21"/>
        <w:spacing w:before="120" w:after="0"/>
        <w:jc w:val="both"/>
        <w:rPr/>
      </w:pPr>
      <w:r>
        <w:rPr/>
      </w:r>
    </w:p>
    <w:p>
      <w:pPr>
        <w:pStyle w:val="BodyText2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 к Договору поставки</w:t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_______________________</w:t>
      </w:r>
    </w:p>
    <w:p>
      <w:pPr>
        <w:pStyle w:val="Normal"/>
        <w:widowControl w:val="false"/>
        <w:spacing w:lineRule="auto" w:line="240" w:before="12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 __________ 2025 г.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  <w:t>Исх. № ___________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  <w:t>от ____________ 20___г.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1"/>
        <w:spacing w:before="120" w:after="0"/>
        <w:jc w:val="right"/>
        <w:rPr>
          <w:szCs w:val="24"/>
        </w:rPr>
      </w:pPr>
      <w:r>
        <w:rPr>
          <w:szCs w:val="24"/>
        </w:rPr>
        <w:tab/>
        <w:tab/>
        <w:tab/>
        <w:t>Заместителю генерального директора по направлению деятельности или руководителю структурного подразделения, подчиненного непосредственно генеральному директору; руководителю филиала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  <w:tab/>
        <w:tab/>
        <w:tab/>
        <w:tab/>
        <w:tab/>
        <w:tab/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1"/>
        <w:spacing w:before="120" w:after="0"/>
        <w:ind w:firstLine="708"/>
        <w:jc w:val="both"/>
        <w:rPr>
          <w:szCs w:val="24"/>
        </w:rPr>
      </w:pPr>
      <w:r>
        <w:rPr>
          <w:szCs w:val="24"/>
        </w:rPr>
        <w:t xml:space="preserve">Во исполнение условий договора от ____________ № ____________ нашей организацией были выполнены работы (поставлен товар, оказаны услуги) связанные с 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  <w:t>_____________________________________________________________________ .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  <w:tab/>
        <w:t xml:space="preserve">  В целях подтверждения совершения факта хозяйственной жизни направляю первичные чётные документы согласно списку:</w:t>
      </w:r>
    </w:p>
    <w:p>
      <w:pPr>
        <w:pStyle w:val="21"/>
        <w:spacing w:before="120" w:after="0"/>
        <w:jc w:val="both"/>
        <w:rPr>
          <w:szCs w:val="24"/>
        </w:rPr>
      </w:pPr>
      <w:r>
        <w:rPr>
          <w:szCs w:val="24"/>
        </w:rPr>
      </w:r>
    </w:p>
    <w:p>
      <w:pPr>
        <w:pStyle w:val="21"/>
        <w:spacing w:before="120" w:after="0"/>
        <w:jc w:val="both"/>
        <w:rPr>
          <w:szCs w:val="24"/>
          <w:u w:val="single"/>
        </w:rPr>
      </w:pPr>
      <w:r>
        <w:rPr>
          <w:szCs w:val="24"/>
          <w:u w:val="single"/>
        </w:rPr>
        <w:t>Список первичных учётных документов:</w:t>
      </w:r>
    </w:p>
    <w:p>
      <w:pPr>
        <w:pStyle w:val="21"/>
        <w:numPr>
          <w:ilvl w:val="0"/>
          <w:numId w:val="1"/>
        </w:numPr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Счёт от _______ № _________ на сумму ___________ на ____ л.</w:t>
      </w:r>
    </w:p>
    <w:p>
      <w:pPr>
        <w:pStyle w:val="21"/>
        <w:numPr>
          <w:ilvl w:val="0"/>
          <w:numId w:val="1"/>
        </w:numPr>
        <w:spacing w:before="0" w:after="0"/>
        <w:jc w:val="both"/>
        <w:rPr>
          <w:i/>
          <w:i/>
          <w:szCs w:val="24"/>
        </w:rPr>
      </w:pPr>
      <w:r>
        <w:rPr>
          <w:i/>
          <w:szCs w:val="24"/>
        </w:rPr>
        <w:t>Акт выполненных работ от _______ № ____________ на сумму _____________ на ____ л.</w:t>
      </w:r>
    </w:p>
    <w:p>
      <w:pPr>
        <w:pStyle w:val="21"/>
        <w:numPr>
          <w:ilvl w:val="0"/>
          <w:numId w:val="1"/>
        </w:numPr>
        <w:spacing w:before="0" w:after="0"/>
        <w:jc w:val="both"/>
        <w:rPr>
          <w:i/>
          <w:i/>
          <w:szCs w:val="24"/>
        </w:rPr>
      </w:pPr>
      <w:r>
        <w:rPr>
          <w:i/>
          <w:szCs w:val="24"/>
        </w:rPr>
        <w:t>…</w:t>
      </w:r>
      <w:r>
        <w:rPr>
          <w:i/>
          <w:szCs w:val="24"/>
        </w:rPr>
        <w:t>.. иные первичные учётные документы</w:t>
      </w:r>
    </w:p>
    <w:p>
      <w:pPr>
        <w:pStyle w:val="21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1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1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21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Подпись лица, имеющего право действовать от имени организации</w:t>
      </w:r>
    </w:p>
    <w:p>
      <w:pPr>
        <w:pStyle w:val="21"/>
        <w:spacing w:before="120" w:after="0"/>
        <w:jc w:val="both"/>
        <w:rPr>
          <w:i/>
          <w:i/>
          <w:szCs w:val="24"/>
        </w:rPr>
      </w:pPr>
      <w:r>
        <w:rPr>
          <w:i/>
          <w:szCs w:val="24"/>
        </w:rPr>
        <w:t>М.П.</w:t>
      </w:r>
    </w:p>
    <w:p>
      <w:pPr>
        <w:pStyle w:val="Normal"/>
        <w:spacing w:lineRule="auto" w:line="240" w:before="120" w:after="200"/>
        <w:rPr/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sectPr>
      <w:headerReference w:type="even" r:id="rId7"/>
      <w:headerReference w:type="default" r:id="rId8"/>
      <w:headerReference w:type="first" r:id="rId9"/>
      <w:footerReference w:type="even" r:id="rId10"/>
      <w:footerReference w:type="default" r:id="rId11"/>
      <w:footerReference w:type="first" r:id="rId12"/>
      <w:type w:val="nextPage"/>
      <w:pgSz w:w="11906" w:h="16838"/>
      <w:pgMar w:left="1701" w:right="850" w:gutter="0" w:header="708" w:top="765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Arial Unicode MS">
    <w:charset w:val="01"/>
    <w:family w:val="roman"/>
    <w:pitch w:val="default"/>
  </w:font>
  <w:font w:name="NTTierce">
    <w:charset w:val="01"/>
    <w:family w:val="roman"/>
    <w:pitch w:val="default"/>
  </w:font>
  <w:font w:name="calibri">
    <w:charset w:val="01"/>
    <w:family w:val="roman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20"/>
      <w:jc w:val="center"/>
      <w:rPr>
        <w:sz w:val="16"/>
        <w:szCs w:val="16"/>
      </w:rPr>
    </w:pPr>
    <w:r>
      <w:rPr>
        <w:sz w:val="16"/>
        <w:szCs w:val="16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276" w:beforeAutospacing="0" w:before="0" w:afterAutospacing="0" w:after="200"/>
      <w:jc w:val="left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mc:AlternateContent>
        <mc:Choice Requires="wps">
          <w:drawing>
            <wp:anchor behindDoc="1" distT="0" distB="0" distL="114300" distR="0" simplePos="0" locked="0" layoutInCell="0" allowOverlap="1" relativeHeight="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0800" cy="15875"/>
              <wp:effectExtent l="2905760" t="0" r="0" b="0"/>
              <wp:wrapNone/>
              <wp:docPr id="3" name="PowerPlusWaterMarkObject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0760" cy="15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false"/>
                            <w:spacing w:before="0" w:after="0" w:lineRule="auto" w:line="240"/>
                            <w:rPr/>
                          </w:pPr>
                          <w:r>
                            <w:rPr>
                              <w:sz w:val="2"/>
                              <w:rFonts w:ascii="calibri" w:hAnsi="calibri" w:cs="Arial" w:cstheme="minorBidi"/>
                              <w:color w:val="C0C0C0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  <w14:textOutline w14:w="0" w14:cap="flat" w14:cmpd="sng">
                                <w14:noFill/>
                                <w14:round/>
                              </w14:textOutline>
                            </w:rPr>
                            <w:t>ОБРАЗЕЦ</w:t>
                          </w:r>
                        </w:p>
                      </w:txbxContent>
                    </wps:txbx>
                    <wps:bodyPr wrap="square" lIns="0" rIns="0" tIns="0" bIns="0" anchor="ctr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mc:AlternateContent>
        <mc:Choice Requires="wps">
          <w:drawing>
            <wp:anchor behindDoc="1" distT="0" distB="0" distL="11430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0800" cy="15875"/>
              <wp:effectExtent l="2942590" t="3474085" r="0" b="0"/>
              <wp:wrapNone/>
              <wp:docPr id="4" name="PowerPlusWaterMarkObject357922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0760" cy="15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false"/>
                            <w:spacing w:before="0" w:after="0" w:lineRule="auto" w:line="240"/>
                            <w:rPr/>
                          </w:pPr>
                          <w:r>
                            <w:rPr>
                              <w:sz w:val="2"/>
                              <w:rFonts w:ascii="calibri" w:hAnsi="calibri" w:cs="Arial" w:cstheme="minorBidi"/>
                              <w:color w:val="C0C0C0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  <w14:textOutline w14:w="0" w14:cap="flat" w14:cmpd="sng">
                                <w14:noFill/>
                                <w14:round/>
                              </w14:textOutline>
                            </w:rPr>
                            <w:t>ОБРАЗЕЦ</w:t>
                          </w:r>
                        </w:p>
                      </w:txbxContent>
                    </wps:txbx>
                    <wps:bodyPr wrap="square" lIns="0" rIns="0" tIns="0" bIns="0" anchor="ctr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  <mc:AlternateContent>
        <mc:Choice Requires="wps">
          <w:drawing>
            <wp:anchor behindDoc="1" distT="0" distB="0" distL="114300" distR="0" simplePos="0" locked="0" layoutInCell="0" allowOverlap="1" relativeHeight="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0800" cy="15875"/>
              <wp:effectExtent l="12258675" t="67649725" r="0" b="0"/>
              <wp:wrapNone/>
              <wp:docPr id="5" name="PowerPlusWaterMarkObject357922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0760" cy="15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false"/>
                            <w:spacing w:before="0" w:after="0" w:lineRule="auto" w:line="240"/>
                            <w:rPr/>
                          </w:pPr>
                          <w:r>
                            <w:rPr>
                              <w:sz w:val="2"/>
                              <w:rFonts w:ascii="calibri" w:hAnsi="calibri" w:cs="Arial" w:cstheme="minorBidi"/>
                              <w:color w:val="C0C0C0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  <w14:textOutline w14:w="0" w14:cap="flat" w14:cmpd="sng">
                                <w14:noFill/>
                                <w14:round/>
                              </w14:textOutline>
                            </w:rPr>
                            <w:t>ОБРАЗЕЦ</w:t>
                          </w:r>
                        </w:p>
                      </w:txbxContent>
                    </wps:txbx>
                    <wps:bodyPr wrap="square" lIns="0" rIns="0" tIns="0" bIns="0" anchor="ctr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–"/>
      <w:lvlJc w:val="left"/>
      <w:pPr>
        <w:tabs>
          <w:tab w:val="num" w:pos="0"/>
        </w:tabs>
        <w:ind w:left="1381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0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82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54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98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70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141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9"/>
    <w:qFormat/>
    <w:pPr>
      <w:keepNext w:val="true"/>
      <w:spacing w:lineRule="auto" w:line="240" w:before="240" w:after="60"/>
      <w:outlineLvl w:val="0"/>
    </w:pPr>
    <w:rPr>
      <w:rFonts w:ascii="Arial" w:hAnsi="Arial" w:eastAsia="Times New Roman"/>
      <w:b/>
      <w:sz w:val="32"/>
      <w:szCs w:val="20"/>
      <w:lang w:eastAsia="ru-RU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rPr>
      <w:rFonts w:ascii="Arial" w:hAnsi="Arial" w:eastAsia="Times New Roman" w:cs="Times New Roman"/>
      <w:b/>
      <w:sz w:val="32"/>
      <w:szCs w:val="20"/>
      <w:lang w:eastAsia="ru-RU"/>
    </w:rPr>
  </w:style>
  <w:style w:type="character" w:styleId="Style7" w:customStyle="1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2" w:customStyle="1">
    <w:name w:val="Основной текст 2 Знак"/>
    <w:basedOn w:val="DefaultParagraphFont"/>
    <w:uiPriority w:val="99"/>
    <w:qFormat/>
    <w:rPr>
      <w:rFonts w:ascii="Calibri" w:hAnsi="Calibri" w:eastAsia="Calibri" w:cs="Times New Roman"/>
    </w:rPr>
  </w:style>
  <w:style w:type="character" w:styleId="ConsPlusNormal" w:customStyle="1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8" w:customStyle="1">
    <w:name w:val="Абзац списка Знак"/>
    <w:uiPriority w:val="34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 w:customStyle="1">
    <w:name w:val="Верх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4"/>
      <w:lang w:eastAsia="ru-RU"/>
    </w:rPr>
  </w:style>
  <w:style w:type="character" w:styleId="Style10" w:customStyle="1">
    <w:name w:val="Нижний колонтитул Знак"/>
    <w:basedOn w:val="DefaultParagraphFont"/>
    <w:uiPriority w:val="99"/>
    <w:qFormat/>
    <w:rPr>
      <w:rFonts w:ascii="Calibri" w:hAnsi="Calibri" w:eastAsia="Calibri" w:cs="Times New Roman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 w:customStyle="1">
    <w:name w:val="Body Text"/>
    <w:pPr>
      <w:keepNext w:val="false"/>
      <w:keepLines w:val="false"/>
      <w:pageBreakBefore w:val="false"/>
      <w:widowControl/>
      <w:shd w:val="nil"/>
      <w:suppressAutoHyphens w:val="true"/>
      <w:bidi w:val="0"/>
      <w:spacing w:lineRule="auto" w:line="276" w:beforeAutospacing="0" w:before="0" w:afterAutospacing="0" w:after="140"/>
      <w:ind w:hanging="0" w:left="0" w:right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kern w:val="0"/>
      <w:position w:val="0"/>
      <w:sz w:val="24"/>
      <w:sz w:val="24"/>
      <w:szCs w:val="24"/>
      <w:u w:val="none"/>
      <w:vertAlign w:val="baseline"/>
      <w:lang w:val="ru-RU" w:eastAsia="ru-RU" w:bidi="ar-SA"/>
      <w14:ligatures w14:val="none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1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NormalWeb">
    <w:name w:val="Normal (Web)"/>
    <w:basedOn w:val="Normal"/>
    <w:uiPriority w:val="99"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odyTextIndent">
    <w:name w:val="Body Text Indent"/>
    <w:basedOn w:val="Normal"/>
    <w:pPr>
      <w:tabs>
        <w:tab w:val="clear" w:pos="709"/>
        <w:tab w:val="left" w:pos="0" w:leader="none"/>
        <w:tab w:val="left" w:pos="1080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3" w:customStyle="1">
    <w:name w:val="Обычный3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odyText2">
    <w:name w:val="Body Text 2"/>
    <w:basedOn w:val="Normal"/>
    <w:uiPriority w:val="99"/>
    <w:unhideWhenUsed/>
    <w:qFormat/>
    <w:pPr>
      <w:spacing w:lineRule="auto" w:line="480" w:before="0" w:after="120"/>
    </w:pPr>
    <w:rPr/>
  </w:style>
  <w:style w:type="paragraph" w:styleId="11" w:customStyle="1">
    <w:name w:val="Основной текст с отступом1"/>
    <w:basedOn w:val="Normal"/>
    <w:uiPriority w:val="99"/>
    <w:qFormat/>
    <w:pPr>
      <w:spacing w:lineRule="auto" w:line="240" w:before="0" w:after="120"/>
      <w:ind w:left="283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ConsPlusNormal1" w:customStyle="1">
    <w:name w:val="ConsPlusNormal"/>
    <w:qFormat/>
    <w:pPr>
      <w:widowControl w:val="false"/>
      <w:suppressAutoHyphens w:val="true"/>
      <w:bidi w:val="0"/>
      <w:spacing w:lineRule="auto" w:line="240" w:beforeAutospacing="0" w:before="0" w:afterAutospacing="0" w:after="0"/>
      <w:ind w:firstLine="720"/>
      <w:jc w:val="left"/>
    </w:pPr>
    <w:rPr>
      <w:rFonts w:ascii="Arial" w:hAnsi="Arial" w:eastAsia="Times New Roman" w:cs="Arial" w:cstheme="minorBidi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lineRule="auto" w:line="240" w:before="0" w:after="0"/>
      <w:ind w:left="720"/>
      <w:contextualSpacing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odyText21" w:customStyle="1">
    <w:name w:val="Body Text 21"/>
    <w:basedOn w:val="Normal"/>
    <w:qFormat/>
    <w:pPr>
      <w:spacing w:lineRule="auto" w:line="240" w:before="0" w:after="0"/>
      <w:ind w:firstLine="720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4" w:customStyle="1">
    <w:name w:val="Обычный4"/>
    <w:basedOn w:val="Normal"/>
    <w:uiPriority w:val="99"/>
    <w:qFormat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ru-RU"/>
    </w:rPr>
  </w:style>
  <w:style w:type="paragraph" w:styleId="22" w:customStyle="1">
    <w:name w:val="Основной текст 22"/>
    <w:basedOn w:val="Normal"/>
    <w:uiPriority w:val="99"/>
    <w:qFormat/>
    <w:pPr>
      <w:widowControl w:val="false"/>
      <w:spacing w:lineRule="auto" w:line="276" w:before="0" w:after="0"/>
      <w:ind w:firstLine="720"/>
      <w:jc w:val="both"/>
    </w:pPr>
    <w:rPr>
      <w:rFonts w:ascii="NTTierce" w:hAnsi="NTTierce" w:eastAsia="Times New Roman"/>
      <w:sz w:val="24"/>
      <w:szCs w:val="20"/>
      <w:lang w:eastAsia="ru-RU"/>
    </w:rPr>
  </w:style>
  <w:style w:type="paragraph" w:styleId="21" w:customStyle="1">
    <w:name w:val="Без интервала2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ru-RU" w:eastAsia="ru-RU" w:bidi="ar-SA"/>
    </w:rPr>
  </w:style>
  <w:style w:type="paragraph" w:styleId="12" w:customStyle="1">
    <w:name w:val="Без интервала1"/>
    <w:uiPriority w:val="99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9"/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lang w:eastAsia="ru-RU"/>
    </w:rPr>
  </w:style>
  <w:style w:type="paragraph" w:styleId="Footer">
    <w:name w:val="Footer"/>
    <w:basedOn w:val="Normal"/>
    <w:uiPriority w:val="99"/>
    <w:unhideWhenUsed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3" w:customStyle="1">
    <w:name w:val="Обычный1"/>
    <w:uiPriority w:val="99"/>
    <w:qFormat/>
    <w:pPr>
      <w:keepNext w:val="false"/>
      <w:keepLines w:val="false"/>
      <w:pageBreakBefore w:val="false"/>
      <w:widowControl/>
      <w:shd w:val="nil"/>
      <w:suppressAutoHyphens w:val="true"/>
      <w:bidi w:val="0"/>
      <w:spacing w:lineRule="auto" w:line="240" w:beforeAutospacing="0" w:before="0" w:afterAutospacing="0" w:after="0"/>
      <w:ind w:hanging="0" w:left="0" w:right="0"/>
      <w:jc w:val="left"/>
    </w:pPr>
    <w:rPr>
      <w:rFonts w:ascii="Arial" w:hAnsi="Arial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kern w:val="0"/>
      <w:position w:val="0"/>
      <w:sz w:val="18"/>
      <w:sz w:val="18"/>
      <w:szCs w:val="20"/>
      <w:u w:val="none"/>
      <w:vertAlign w:val="baseline"/>
      <w:lang w:val="ru-RU" w:eastAsia="ru-RU" w:bidi="ar-SA"/>
      <w14:ligatures w14:val="none"/>
    </w:rPr>
  </w:style>
  <w:style w:type="paragraph" w:styleId="0" w:customStyle="1">
    <w:name w:val="Обычный + После:  0 пт"/>
    <w:basedOn w:val="TOC1"/>
    <w:qFormat/>
    <w:pPr>
      <w:keepNext w:val="false"/>
      <w:keepLines w:val="false"/>
      <w:pageBreakBefore w:val="false"/>
      <w:widowControl/>
      <w:shd w:val="nil"/>
      <w:spacing w:lineRule="auto" w:line="276" w:beforeAutospacing="0" w:before="0" w:afterAutospacing="0" w:after="200"/>
      <w:ind w:hanging="0" w:left="0" w:right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 w:val="24"/>
      <w:szCs w:val="24"/>
      <w:u w:val="none"/>
      <w:vertAlign w:val="baseline"/>
      <w:lang w:val="ru-RU" w:eastAsia="ru-RU" w:bidi="ar-SA"/>
      <w14:ligatures w14:val="none"/>
    </w:rPr>
  </w:style>
  <w:style w:type="paragraph" w:styleId="Style1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LibreOffice/7.6.7.2$Linux_X86_64 LibreOffice_project/60$Build-2</Application>
  <AppVersion>15.0000</AppVersion>
  <Pages>12</Pages>
  <Words>3039</Words>
  <Characters>22308</Characters>
  <CharactersWithSpaces>25301</CharactersWithSpaces>
  <Paragraphs>237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2023-01-20T09:03:00Z</dcterms:created>
  <dc:creator>Яшков Владимир Анатольевич</dc:creator>
  <dc:description/>
  <dc:language>ru-RU</dc:language>
  <cp:lastModifiedBy/>
  <dcterms:modified xsi:type="dcterms:W3CDTF">2025-09-30T15:07:02Z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