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ms-word.stylesWithEffects+xml" PartName="/word/stylesWithEffect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 ?>
<Relationships xmlns="http://schemas.openxmlformats.org/package/2006/relationships">
  <Relationship Id="rId3" Target="docProps/core.xml" Type="http://schemas.openxmlformats.org/package/2006/relationships/metadata/core-properties"/>
  <Relationship Id="rId2" Target="docProps/app.xml" Type="http://schemas.openxmlformats.org/officeDocument/2006/relationships/extended-properties"/>
  <Relationship Id="rId1" Target="word/document.xml" Type="http://schemas.openxmlformats.org/officeDocument/2006/relationships/officeDocument"/>
</Relationships>

</file>

<file path=word/document.xml><?xml version="1.0" encoding="utf-8"?>
<w:document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4="http://schemas.microsoft.com/office/spreadsheetml/2009/9/main" xmlns:xdr="http://schemas.openxmlformats.org/drawingml/2006/spreadsheetDrawing" xmlns:xm="http://schemas.microsoft.com/office/excel/2006/main" mc:Ignorable="co co-ooxml w14 x14 w15">
  <w:body>
    <w:p w14:paraId="05000000">
      <w:pPr>
        <w:ind/>
        <w:jc w:val="center"/>
        <w:outlineLvl w:val="0"/>
        <w:rPr>
          <w:b w:val="1"/>
          <w:sz w:val="22"/>
        </w:rPr>
      </w:pPr>
      <w:r>
        <w:rPr>
          <w:b w:val="1"/>
          <w:sz w:val="22"/>
        </w:rPr>
        <w:t>КОНТРАКТ</w:t>
      </w:r>
      <w:r>
        <w:rPr>
          <w:b w:val="1"/>
          <w:sz w:val="22"/>
        </w:rPr>
        <w:t xml:space="preserve"> №</w:t>
      </w:r>
      <w:r>
        <w:rPr>
          <w:b w:val="1"/>
          <w:sz w:val="22"/>
        </w:rPr>
        <w:t xml:space="preserve"> </w:t>
      </w:r>
      <w:r>
        <w:rPr>
          <w:b w:val="1"/>
          <w:sz w:val="22"/>
        </w:rPr>
        <w:t>_____</w:t>
      </w:r>
    </w:p>
    <w:p w14:paraId="06000000">
      <w:pPr>
        <w:ind/>
        <w:jc w:val="center"/>
        <w:rPr>
          <w:sz w:val="22"/>
        </w:rPr>
      </w:pPr>
      <w:r>
        <w:rPr>
          <w:sz w:val="22"/>
        </w:rPr>
        <w:t xml:space="preserve">г. </w:t>
      </w:r>
      <w:r>
        <w:rPr>
          <w:sz w:val="22"/>
        </w:rPr>
        <w:t>Санкт-Петербург</w:t>
      </w:r>
      <w:r>
        <w:rPr>
          <w:sz w:val="22"/>
        </w:rPr>
        <w:tab/>
      </w:r>
      <w:r>
        <w:rPr>
          <w:sz w:val="22"/>
        </w:rPr>
        <w:tab/>
      </w:r>
      <w:r>
        <w:rPr>
          <w:sz w:val="22"/>
        </w:rPr>
        <w:tab/>
      </w:r>
      <w:r>
        <w:rPr>
          <w:sz w:val="22"/>
        </w:rPr>
        <w:tab/>
      </w:r>
      <w:r>
        <w:rPr>
          <w:sz w:val="22"/>
        </w:rPr>
        <w:tab/>
      </w:r>
      <w:r>
        <w:rPr>
          <w:sz w:val="22"/>
        </w:rPr>
        <w:t xml:space="preserve">                             _______________</w:t>
      </w:r>
      <w:r>
        <w:rPr>
          <w:sz w:val="22"/>
        </w:rPr>
        <w:t xml:space="preserve">        </w:t>
      </w:r>
      <w:r>
        <w:rPr>
          <w:sz w:val="22"/>
        </w:rPr>
        <w:t xml:space="preserve"> </w:t>
      </w:r>
    </w:p>
    <w:p w14:paraId="07000000">
      <w:pPr>
        <w:widowControl w:val="0"/>
        <w:ind/>
        <w:jc w:val="both"/>
        <w:rPr>
          <w:sz w:val="22"/>
        </w:rPr>
      </w:pPr>
    </w:p>
    <w:p w14:paraId="08000000">
      <w:pPr>
        <w:pStyle w:val="Style_2"/>
        <w:spacing w:before="120"/>
        <w:ind w:firstLine="567" w:left="0"/>
      </w:pPr>
      <w:r>
        <w:rPr>
          <w:color w:val="000000"/>
          <w:sz w:val="22"/>
        </w:rPr>
        <w:t xml:space="preserve">Государственное бюджетное общеобразовательное учреждение средняя общеобразовательная школа № </w:t>
      </w:r>
      <w:r>
        <w:rPr>
          <w:color w:val="000000"/>
          <w:sz w:val="22"/>
        </w:rPr>
        <w:t>472</w:t>
      </w:r>
      <w:r>
        <w:rPr>
          <w:color w:val="000000"/>
          <w:sz w:val="22"/>
        </w:rPr>
        <w:t xml:space="preserve"> Выборгского района Санкт-Петербурга (ГБОУ школа № 472</w:t>
      </w:r>
      <w:r>
        <w:rPr>
          <w:color w:val="000000"/>
          <w:sz w:val="22"/>
        </w:rPr>
        <w:t>9</w:t>
      </w:r>
      <w:r>
        <w:rPr>
          <w:color w:val="000000"/>
          <w:sz w:val="22"/>
        </w:rPr>
        <w:t>), в лице директора</w:t>
      </w:r>
      <w:r>
        <w:rPr>
          <w:color w:val="000000"/>
          <w:sz w:val="22"/>
        </w:rPr>
        <w:t xml:space="preserve"> Куйбышевой З.Н.</w:t>
      </w:r>
      <w:r>
        <w:rPr>
          <w:color w:val="000000"/>
          <w:sz w:val="22"/>
        </w:rPr>
        <w:t>,  действующего на основании Устава</w:t>
      </w:r>
      <w:r>
        <w:rPr>
          <w:color w:val="000000"/>
          <w:sz w:val="22"/>
        </w:rPr>
        <w:t>, с одной стороны, и</w:t>
      </w:r>
      <w:r>
        <w:rPr>
          <w:color w:val="000000"/>
          <w:sz w:val="22"/>
        </w:rPr>
        <w:t xml:space="preserve"> </w:t>
      </w:r>
      <w:r>
        <w:rPr>
          <w:color w:val="000000"/>
          <w:sz w:val="22"/>
        </w:rPr>
        <w:t>______________________</w:t>
      </w:r>
      <w:r>
        <w:rPr>
          <w:color w:val="000000"/>
          <w:sz w:val="22"/>
        </w:rPr>
        <w:t>, именуемое в дальнейшем «Исполнитель», с другой стороны, именуемые далее "Стороны", заключили настоящий контракт (далее – Контракт) о нижеследующем</w:t>
      </w:r>
      <w:r>
        <w:t>:</w:t>
      </w:r>
    </w:p>
    <w:p w14:paraId="09000000">
      <w:pPr>
        <w:pStyle w:val="Style_2"/>
        <w:spacing w:after="120" w:before="120"/>
        <w:ind w:firstLine="567" w:left="0"/>
        <w:jc w:val="center"/>
        <w:outlineLvl w:val="0"/>
        <w:rPr>
          <w:b w:val="1"/>
          <w:caps w:val="1"/>
          <w:sz w:val="22"/>
        </w:rPr>
      </w:pPr>
      <w:r>
        <w:rPr>
          <w:b w:val="1"/>
          <w:caps w:val="1"/>
          <w:sz w:val="22"/>
        </w:rPr>
        <w:t>1. Предмет КОНТРАКТА</w:t>
      </w:r>
    </w:p>
    <w:p w14:paraId="0A000000">
      <w:pPr>
        <w:widowControl w:val="0"/>
        <w:ind/>
        <w:jc w:val="both"/>
        <w:rPr>
          <w:color w:val="000000"/>
          <w:sz w:val="22"/>
        </w:rPr>
      </w:pPr>
      <w:r>
        <w:rPr>
          <w:color w:val="000000"/>
          <w:sz w:val="22"/>
        </w:rPr>
        <w:t>1.1. Заказчик поручает, а Исполнитель принимает на себя обязательства н</w:t>
      </w:r>
      <w:r>
        <w:rPr>
          <w:color w:val="000000"/>
          <w:sz w:val="22"/>
        </w:rPr>
        <w:t>а   оказание услуг по заправке</w:t>
      </w:r>
      <w:r>
        <w:rPr>
          <w:color w:val="000000"/>
          <w:sz w:val="22"/>
        </w:rPr>
        <w:t xml:space="preserve"> </w:t>
      </w:r>
      <w:r>
        <w:rPr>
          <w:color w:val="000000"/>
          <w:sz w:val="22"/>
        </w:rPr>
        <w:t xml:space="preserve">и восстановлению </w:t>
      </w:r>
      <w:r>
        <w:rPr>
          <w:color w:val="000000"/>
          <w:sz w:val="22"/>
        </w:rPr>
        <w:t>картриджей, для</w:t>
      </w:r>
      <w:r>
        <w:rPr>
          <w:color w:val="000000"/>
          <w:sz w:val="22"/>
        </w:rPr>
        <w:t xml:space="preserve"> </w:t>
      </w:r>
      <w:r>
        <w:rPr>
          <w:color w:val="000000"/>
          <w:sz w:val="22"/>
        </w:rPr>
        <w:t>ГБОУ школа № 472</w:t>
      </w:r>
      <w:r>
        <w:rPr>
          <w:color w:val="000000"/>
          <w:sz w:val="22"/>
        </w:rPr>
        <w:t xml:space="preserve"> </w:t>
      </w:r>
      <w:r>
        <w:rPr>
          <w:sz w:val="22"/>
        </w:rPr>
        <w:t>.</w:t>
      </w:r>
    </w:p>
    <w:p w14:paraId="0B000000">
      <w:pPr>
        <w:widowControl w:val="0"/>
        <w:ind/>
        <w:jc w:val="both"/>
        <w:rPr>
          <w:color w:val="000000"/>
          <w:sz w:val="22"/>
        </w:rPr>
      </w:pPr>
      <w:r>
        <w:rPr>
          <w:color w:val="000000"/>
          <w:sz w:val="22"/>
        </w:rPr>
        <w:t>1.2. Исполнитель обязуется оказывать услуги в соответствии с условиями настоящего Контракта, в том числе Приложениями № 1 (Техническое задание), Приложению № 2 (Расчетом цены оказываемых услуг), являющихся неотъемлемой частью настоящего Контракта.</w:t>
      </w:r>
    </w:p>
    <w:p w14:paraId="0C000000">
      <w:pPr>
        <w:widowControl w:val="0"/>
        <w:ind/>
        <w:jc w:val="both"/>
        <w:rPr>
          <w:color w:val="000000"/>
          <w:sz w:val="22"/>
        </w:rPr>
      </w:pPr>
    </w:p>
    <w:p w14:paraId="0D000000">
      <w:pPr>
        <w:pStyle w:val="Style_2"/>
        <w:ind w:firstLine="0" w:left="0"/>
        <w:jc w:val="center"/>
        <w:outlineLvl w:val="0"/>
        <w:rPr>
          <w:b w:val="1"/>
          <w:caps w:val="1"/>
          <w:sz w:val="22"/>
        </w:rPr>
      </w:pPr>
      <w:r>
        <w:rPr>
          <w:b w:val="1"/>
          <w:caps w:val="1"/>
          <w:sz w:val="22"/>
        </w:rPr>
        <w:t>2.</w:t>
      </w:r>
      <w:r>
        <w:rPr>
          <w:b w:val="1"/>
          <w:caps w:val="1"/>
          <w:sz w:val="22"/>
        </w:rPr>
        <w:t xml:space="preserve"> период (</w:t>
      </w:r>
      <w:r>
        <w:rPr>
          <w:b w:val="1"/>
          <w:caps w:val="1"/>
          <w:sz w:val="22"/>
        </w:rPr>
        <w:t>Срок</w:t>
      </w:r>
      <w:r>
        <w:rPr>
          <w:b w:val="1"/>
          <w:caps w:val="1"/>
          <w:sz w:val="22"/>
        </w:rPr>
        <w:t>)</w:t>
      </w:r>
      <w:r>
        <w:rPr>
          <w:b w:val="1"/>
          <w:caps w:val="1"/>
          <w:sz w:val="22"/>
        </w:rPr>
        <w:t>, место оказания услуг</w:t>
      </w:r>
    </w:p>
    <w:p w14:paraId="0E000000">
      <w:pPr>
        <w:ind/>
        <w:jc w:val="both"/>
        <w:rPr>
          <w:sz w:val="22"/>
        </w:rPr>
      </w:pPr>
      <w:r>
        <w:rPr>
          <w:sz w:val="22"/>
        </w:rPr>
        <w:t>2.1.</w:t>
      </w:r>
      <w:r>
        <w:rPr>
          <w:sz w:val="22"/>
        </w:rPr>
        <w:t xml:space="preserve"> </w:t>
      </w:r>
      <w:r>
        <w:rPr>
          <w:sz w:val="22"/>
        </w:rPr>
        <w:t xml:space="preserve">Период оказания услуг: </w:t>
      </w:r>
      <w:r>
        <w:rPr>
          <w:sz w:val="22"/>
        </w:rPr>
        <w:t>с момента подписания контракта сторонами</w:t>
      </w:r>
      <w:r>
        <w:rPr>
          <w:sz w:val="22"/>
        </w:rPr>
        <w:t xml:space="preserve"> по </w:t>
      </w:r>
      <w:r>
        <w:rPr>
          <w:sz w:val="22"/>
        </w:rPr>
        <w:t>31</w:t>
      </w:r>
      <w:r>
        <w:rPr>
          <w:sz w:val="22"/>
        </w:rPr>
        <w:t>.12.20</w:t>
      </w:r>
      <w:r>
        <w:rPr>
          <w:sz w:val="22"/>
        </w:rPr>
        <w:t>2</w:t>
      </w:r>
      <w:r>
        <w:rPr>
          <w:sz w:val="22"/>
        </w:rPr>
        <w:t>5</w:t>
      </w:r>
      <w:r>
        <w:rPr>
          <w:sz w:val="22"/>
        </w:rPr>
        <w:t xml:space="preserve"> года</w:t>
      </w:r>
      <w:r>
        <w:rPr>
          <w:sz w:val="22"/>
        </w:rPr>
        <w:t>.</w:t>
      </w:r>
    </w:p>
    <w:p w14:paraId="0F000000">
      <w:pPr>
        <w:ind/>
        <w:jc w:val="both"/>
        <w:rPr>
          <w:sz w:val="22"/>
        </w:rPr>
      </w:pPr>
      <w:r>
        <w:rPr>
          <w:sz w:val="22"/>
        </w:rPr>
        <w:t>2.2.</w:t>
      </w:r>
      <w:r>
        <w:rPr>
          <w:color w:val="000000"/>
          <w:sz w:val="22"/>
        </w:rPr>
        <w:t xml:space="preserve"> </w:t>
      </w:r>
      <w:r>
        <w:rPr>
          <w:color w:val="000000"/>
          <w:sz w:val="22"/>
        </w:rPr>
        <w:t>Оказание услуг по заявкам Заказчика осуществляется с 9-00 до 1</w:t>
      </w:r>
      <w:r>
        <w:rPr>
          <w:color w:val="000000"/>
          <w:sz w:val="22"/>
        </w:rPr>
        <w:t>6</w:t>
      </w:r>
      <w:r>
        <w:rPr>
          <w:color w:val="000000"/>
          <w:sz w:val="22"/>
        </w:rPr>
        <w:t>-00 часов по рабочим дням</w:t>
      </w:r>
    </w:p>
    <w:p w14:paraId="10000000">
      <w:pPr>
        <w:ind/>
        <w:jc w:val="both"/>
        <w:rPr>
          <w:sz w:val="22"/>
        </w:rPr>
      </w:pPr>
      <w:r>
        <w:rPr>
          <w:sz w:val="22"/>
        </w:rPr>
        <w:t xml:space="preserve">2.3. </w:t>
      </w:r>
      <w:r>
        <w:rPr>
          <w:sz w:val="22"/>
        </w:rPr>
        <w:t>Услуги оказываются специалистами Исполнителя по заявкам Заказчика, направленным любым средством связи (факсимильная, телефонограмма и пр.). Исполнитель обеспечивает прибытие специалиста на адрес Заказчика. Срок оказания услуг- в течение 2 рабочих дней с момента получения заявки от Заказчика.</w:t>
      </w:r>
    </w:p>
    <w:p w14:paraId="11000000">
      <w:pPr>
        <w:widowControl w:val="0"/>
        <w:ind/>
        <w:jc w:val="both"/>
        <w:rPr>
          <w:color w:val="000000"/>
          <w:sz w:val="22"/>
        </w:rPr>
      </w:pPr>
      <w:r>
        <w:rPr>
          <w:sz w:val="22"/>
        </w:rPr>
        <w:t xml:space="preserve">2.4. Место оказания </w:t>
      </w:r>
      <w:r>
        <w:rPr>
          <w:sz w:val="22"/>
        </w:rPr>
        <w:t xml:space="preserve">услуг: </w:t>
      </w:r>
      <w:r>
        <w:t>г. Санкт-Петербург, п. Левашово, улица Первомайская, дом 37, литера А</w:t>
      </w:r>
    </w:p>
    <w:p w14:paraId="12000000">
      <w:pPr>
        <w:ind/>
        <w:jc w:val="center"/>
        <w:outlineLvl w:val="0"/>
        <w:rPr>
          <w:i w:val="1"/>
          <w:sz w:val="22"/>
        </w:rPr>
      </w:pPr>
      <w:r>
        <w:rPr>
          <w:b w:val="1"/>
          <w:sz w:val="22"/>
        </w:rPr>
        <w:t xml:space="preserve">3. </w:t>
      </w:r>
      <w:r>
        <w:rPr>
          <w:b w:val="1"/>
          <w:caps w:val="1"/>
          <w:sz w:val="22"/>
        </w:rPr>
        <w:t>Права и обязанности сторон</w:t>
      </w:r>
    </w:p>
    <w:p w14:paraId="13000000">
      <w:pPr>
        <w:widowControl w:val="0"/>
        <w:ind/>
        <w:rPr>
          <w:i w:val="1"/>
          <w:sz w:val="22"/>
        </w:rPr>
      </w:pPr>
      <w:r>
        <w:rPr>
          <w:i w:val="1"/>
          <w:sz w:val="22"/>
        </w:rPr>
        <w:t xml:space="preserve">3.1.  Заказчик обязан: </w:t>
      </w:r>
    </w:p>
    <w:p w14:paraId="14000000">
      <w:pPr>
        <w:ind/>
        <w:jc w:val="both"/>
        <w:rPr>
          <w:sz w:val="22"/>
        </w:rPr>
      </w:pPr>
      <w:r>
        <w:rPr>
          <w:sz w:val="22"/>
        </w:rPr>
        <w:t>3.1.1. Направлять заявки Исполнителю любым средством связи (факсимильная, телефонограмма и пр.)</w:t>
      </w:r>
    </w:p>
    <w:p w14:paraId="15000000">
      <w:pPr>
        <w:ind/>
        <w:jc w:val="both"/>
        <w:rPr>
          <w:sz w:val="22"/>
        </w:rPr>
      </w:pPr>
      <w:r>
        <w:rPr>
          <w:sz w:val="22"/>
        </w:rPr>
        <w:t>3.1.2. Назначить ответственного представителя для осуществления связи с Исполнителем и оказания ему организационной поддержки в процессе оказания услуг, в течении 1</w:t>
      </w:r>
      <w:r>
        <w:rPr>
          <w:sz w:val="22"/>
        </w:rPr>
        <w:t xml:space="preserve"> рабочего</w:t>
      </w:r>
      <w:r>
        <w:rPr>
          <w:sz w:val="22"/>
        </w:rPr>
        <w:t xml:space="preserve"> дня с момента подписания Контракта.</w:t>
      </w:r>
    </w:p>
    <w:p w14:paraId="16000000">
      <w:pPr>
        <w:ind/>
        <w:jc w:val="both"/>
        <w:rPr>
          <w:sz w:val="22"/>
        </w:rPr>
      </w:pPr>
      <w:r>
        <w:rPr>
          <w:sz w:val="22"/>
        </w:rPr>
        <w:t>3.1.3. Установить порядок допуска представителей Исполнителя на территорию Заказчика для оказания услуг.</w:t>
      </w:r>
    </w:p>
    <w:p w14:paraId="17000000">
      <w:pPr>
        <w:ind/>
        <w:jc w:val="both"/>
        <w:rPr>
          <w:sz w:val="22"/>
        </w:rPr>
      </w:pPr>
      <w:r>
        <w:rPr>
          <w:sz w:val="22"/>
        </w:rPr>
        <w:t xml:space="preserve">3.1.4. Передать </w:t>
      </w:r>
      <w:r>
        <w:rPr>
          <w:sz w:val="22"/>
        </w:rPr>
        <w:t>Исполнителю список</w:t>
      </w:r>
      <w:r>
        <w:rPr>
          <w:sz w:val="22"/>
        </w:rPr>
        <w:t xml:space="preserve"> с перечнем техники с номерами кабинетов, номера телефонов лиц, ответственных за оргтехнику), необходимый для оказания услуг по настоящему Контракту.</w:t>
      </w:r>
    </w:p>
    <w:p w14:paraId="18000000">
      <w:pPr>
        <w:ind/>
        <w:jc w:val="both"/>
        <w:rPr>
          <w:sz w:val="22"/>
        </w:rPr>
      </w:pPr>
      <w:r>
        <w:rPr>
          <w:sz w:val="22"/>
        </w:rPr>
        <w:t xml:space="preserve">3.1.5. По окончании </w:t>
      </w:r>
      <w:r>
        <w:rPr>
          <w:sz w:val="22"/>
        </w:rPr>
        <w:t>оказания услуг</w:t>
      </w:r>
      <w:r>
        <w:rPr>
          <w:sz w:val="22"/>
        </w:rPr>
        <w:t xml:space="preserve"> подписывать акт сдачи-приемки </w:t>
      </w:r>
      <w:r>
        <w:rPr>
          <w:sz w:val="22"/>
        </w:rPr>
        <w:t>оказанных услуг</w:t>
      </w:r>
      <w:r>
        <w:rPr>
          <w:sz w:val="22"/>
        </w:rPr>
        <w:t xml:space="preserve">, в случае если качество оказанных услуг соответствует требованиям эксплуатации лазерных картриджей. При обнаружении Заказчиком недостатков оказания услуг в акте фиксируется перечень недостатков </w:t>
      </w:r>
      <w:r>
        <w:rPr>
          <w:sz w:val="22"/>
        </w:rPr>
        <w:t>оказанных</w:t>
      </w:r>
      <w:r>
        <w:rPr>
          <w:sz w:val="22"/>
        </w:rPr>
        <w:t xml:space="preserve"> услуг и сроки для их устранения Исполнителем. При отказе (уклонении) Исполнителя от подписания Акта, в нем делается отметка об этом и подписанный Заказчиком Акт подтверждается независимым лицом по выбору Заказчика.</w:t>
      </w:r>
    </w:p>
    <w:p w14:paraId="19000000">
      <w:pPr>
        <w:widowControl w:val="0"/>
        <w:ind/>
        <w:jc w:val="both"/>
        <w:rPr>
          <w:sz w:val="22"/>
        </w:rPr>
      </w:pPr>
      <w:r>
        <w:rPr>
          <w:sz w:val="22"/>
        </w:rPr>
        <w:t xml:space="preserve">3.1.6. При обнаружении в ходе оказания услуг допущенных Исполнителем недостатков услуг, немедленно заявить об этом Исполнителю в письменной форме, назначая срок для устранения  </w:t>
      </w:r>
      <w:r>
        <w:rPr>
          <w:sz w:val="22"/>
        </w:rPr>
        <w:t xml:space="preserve"> </w:t>
      </w:r>
      <w:r>
        <w:rPr>
          <w:sz w:val="22"/>
        </w:rPr>
        <w:t>таких недостатков</w:t>
      </w:r>
    </w:p>
    <w:p w14:paraId="1A000000">
      <w:pPr>
        <w:ind/>
        <w:jc w:val="both"/>
        <w:rPr>
          <w:sz w:val="22"/>
        </w:rPr>
      </w:pPr>
      <w:r>
        <w:rPr>
          <w:sz w:val="22"/>
        </w:rPr>
        <w:t xml:space="preserve">3.1.7. Оплатить оказанные услуги на условиях настоящего Контракта, в случае если качество услуг удовлетворяет </w:t>
      </w:r>
      <w:r>
        <w:rPr>
          <w:sz w:val="22"/>
        </w:rPr>
        <w:t>Заказчика, и</w:t>
      </w:r>
      <w:r>
        <w:rPr>
          <w:sz w:val="22"/>
        </w:rPr>
        <w:t xml:space="preserve"> они приняты по акту сдачи-приемки оказанных услуг.</w:t>
      </w:r>
    </w:p>
    <w:p w14:paraId="1B000000">
      <w:pPr>
        <w:widowControl w:val="0"/>
        <w:ind/>
        <w:jc w:val="both"/>
        <w:rPr>
          <w:sz w:val="22"/>
        </w:rPr>
      </w:pPr>
      <w:r>
        <w:rPr>
          <w:sz w:val="22"/>
        </w:rPr>
        <w:t xml:space="preserve">3.1.8. </w:t>
      </w:r>
      <w:r>
        <w:rPr>
          <w:sz w:val="22"/>
        </w:rPr>
        <w:t>Информировать</w:t>
      </w:r>
      <w:r>
        <w:rPr>
          <w:sz w:val="22"/>
        </w:rPr>
        <w:t xml:space="preserve"> Исполнителя </w:t>
      </w:r>
      <w:r>
        <w:rPr>
          <w:sz w:val="22"/>
        </w:rPr>
        <w:t>об изменении своего адреса и реквизитов</w:t>
      </w:r>
      <w:r>
        <w:rPr>
          <w:sz w:val="22"/>
        </w:rPr>
        <w:t>.</w:t>
      </w:r>
    </w:p>
    <w:p w14:paraId="1C000000">
      <w:pPr>
        <w:widowControl w:val="0"/>
        <w:ind/>
        <w:jc w:val="both"/>
        <w:rPr>
          <w:i w:val="1"/>
          <w:sz w:val="22"/>
        </w:rPr>
      </w:pPr>
      <w:r>
        <w:rPr>
          <w:i w:val="1"/>
          <w:sz w:val="22"/>
        </w:rPr>
        <w:t>3.2.  Заказчик имеет право:</w:t>
      </w:r>
    </w:p>
    <w:p w14:paraId="1D000000">
      <w:pPr>
        <w:widowControl w:val="0"/>
        <w:ind/>
        <w:jc w:val="both"/>
        <w:rPr>
          <w:sz w:val="22"/>
        </w:rPr>
      </w:pPr>
      <w:r>
        <w:rPr>
          <w:sz w:val="22"/>
        </w:rPr>
        <w:t xml:space="preserve">3.2.1. Требовать от </w:t>
      </w:r>
      <w:r>
        <w:rPr>
          <w:sz w:val="22"/>
        </w:rPr>
        <w:t xml:space="preserve">Исполнителя надлежащего выполнения обязательств по настоящему Контракту. </w:t>
      </w:r>
    </w:p>
    <w:p w14:paraId="1E000000">
      <w:pPr>
        <w:widowControl w:val="0"/>
        <w:ind/>
        <w:jc w:val="both"/>
        <w:rPr>
          <w:sz w:val="22"/>
        </w:rPr>
      </w:pPr>
      <w:r>
        <w:rPr>
          <w:sz w:val="22"/>
        </w:rPr>
        <w:t>З.2.2. Осуществлять контроль за ходом и качеством оказания услуг по Контракту.</w:t>
      </w:r>
    </w:p>
    <w:p w14:paraId="1F000000">
      <w:pPr>
        <w:widowControl w:val="0"/>
        <w:ind/>
        <w:jc w:val="both"/>
        <w:rPr>
          <w:sz w:val="22"/>
        </w:rPr>
      </w:pPr>
      <w:r>
        <w:rPr>
          <w:sz w:val="22"/>
        </w:rPr>
        <w:t xml:space="preserve">3.2.3. Требовать предоставления </w:t>
      </w:r>
      <w:r>
        <w:rPr>
          <w:sz w:val="22"/>
        </w:rPr>
        <w:t xml:space="preserve">надлежащим образом оформленных отчётных и финансовых документов, подтверждающих исполнение обязательств, в соответствии с </w:t>
      </w:r>
      <w:r>
        <w:rPr>
          <w:sz w:val="22"/>
        </w:rPr>
        <w:t>К</w:t>
      </w:r>
      <w:r>
        <w:rPr>
          <w:sz w:val="22"/>
        </w:rPr>
        <w:t>онтрактом.</w:t>
      </w:r>
    </w:p>
    <w:p w14:paraId="20000000">
      <w:pPr>
        <w:widowControl w:val="0"/>
        <w:ind/>
        <w:jc w:val="both"/>
        <w:rPr>
          <w:sz w:val="22"/>
        </w:rPr>
      </w:pPr>
      <w:r>
        <w:rPr>
          <w:sz w:val="22"/>
        </w:rPr>
        <w:t xml:space="preserve">3.2.4. Запрашивать информацию о ходе и состоянии исполнения обязательств по </w:t>
      </w:r>
      <w:r>
        <w:rPr>
          <w:sz w:val="22"/>
        </w:rPr>
        <w:t>К</w:t>
      </w:r>
      <w:r>
        <w:rPr>
          <w:sz w:val="22"/>
        </w:rPr>
        <w:t>онтракту.</w:t>
      </w:r>
    </w:p>
    <w:p w14:paraId="21000000">
      <w:pPr>
        <w:tabs>
          <w:tab w:leader="none" w:pos="142" w:val="left"/>
          <w:tab w:leader="none" w:pos="426" w:val="left"/>
        </w:tabs>
        <w:ind/>
        <w:jc w:val="both"/>
        <w:rPr>
          <w:sz w:val="22"/>
        </w:rPr>
      </w:pPr>
      <w:r>
        <w:rPr>
          <w:sz w:val="22"/>
        </w:rPr>
        <w:t xml:space="preserve">3.2.5. В соответствии с действующим гражданским законодательством принять решение об одностороннем отказе от исполнения </w:t>
      </w:r>
      <w:r>
        <w:rPr>
          <w:sz w:val="22"/>
        </w:rPr>
        <w:t>К</w:t>
      </w:r>
      <w:r>
        <w:rPr>
          <w:sz w:val="22"/>
        </w:rPr>
        <w:t xml:space="preserve">онтракта. Заказчик вправе произвести экспертизу оказанных услуг с привлечением экспертов, экспертных организаций до принятия решения об одностороннем отказе от исполнения Контракта. Если Заказчиком проведена экспертиза услуг с привлечением экспертов, экспертных организаций, решение об одностороннем отказе от исполнения </w:t>
      </w:r>
      <w:r>
        <w:rPr>
          <w:sz w:val="22"/>
        </w:rPr>
        <w:t>К</w:t>
      </w:r>
      <w:r>
        <w:rPr>
          <w:sz w:val="22"/>
        </w:rPr>
        <w:t xml:space="preserve">онтракта может быть принято Заказчиком только по результатам экспертизы оказанных услуг, если в заключении эксперта, экспертной организации будут подтверждены нарушения условий </w:t>
      </w:r>
      <w:r>
        <w:rPr>
          <w:sz w:val="22"/>
        </w:rPr>
        <w:t>К</w:t>
      </w:r>
      <w:r>
        <w:rPr>
          <w:sz w:val="22"/>
        </w:rPr>
        <w:t xml:space="preserve">онтракта, послужившие основанием для одностороннего отказа Заказчика от исполнения </w:t>
      </w:r>
      <w:r>
        <w:rPr>
          <w:sz w:val="22"/>
        </w:rPr>
        <w:t>К</w:t>
      </w:r>
      <w:r>
        <w:rPr>
          <w:sz w:val="22"/>
        </w:rPr>
        <w:t>онтракта.</w:t>
      </w:r>
    </w:p>
    <w:p w14:paraId="22000000">
      <w:pPr>
        <w:widowControl w:val="0"/>
        <w:ind/>
        <w:jc w:val="both"/>
        <w:rPr>
          <w:i w:val="1"/>
          <w:sz w:val="22"/>
        </w:rPr>
      </w:pPr>
      <w:r>
        <w:rPr>
          <w:i w:val="1"/>
          <w:sz w:val="22"/>
        </w:rPr>
        <w:t>3.3. Исполнитель</w:t>
      </w:r>
      <w:r>
        <w:rPr>
          <w:sz w:val="22"/>
        </w:rPr>
        <w:t xml:space="preserve"> </w:t>
      </w:r>
      <w:r>
        <w:rPr>
          <w:i w:val="1"/>
          <w:sz w:val="22"/>
        </w:rPr>
        <w:t>обязан:</w:t>
      </w:r>
    </w:p>
    <w:p w14:paraId="23000000">
      <w:pPr>
        <w:ind/>
        <w:jc w:val="both"/>
        <w:rPr>
          <w:sz w:val="22"/>
        </w:rPr>
      </w:pPr>
      <w:r>
        <w:rPr>
          <w:sz w:val="22"/>
        </w:rPr>
        <w:t>3.3.1. В день начала оказания услуг предоста</w:t>
      </w:r>
      <w:r>
        <w:rPr>
          <w:sz w:val="22"/>
        </w:rPr>
        <w:t>вить заказчику</w:t>
      </w:r>
      <w:r>
        <w:rPr>
          <w:sz w:val="22"/>
        </w:rPr>
        <w:t xml:space="preserve"> список</w:t>
      </w:r>
      <w:r>
        <w:rPr>
          <w:sz w:val="22"/>
        </w:rPr>
        <w:t xml:space="preserve"> </w:t>
      </w:r>
      <w:r>
        <w:rPr>
          <w:sz w:val="22"/>
        </w:rPr>
        <w:t>квалифицированных специалистов,</w:t>
      </w:r>
      <w:r>
        <w:rPr>
          <w:sz w:val="22"/>
        </w:rPr>
        <w:t xml:space="preserve"> оказывающих услуги, с указанием ответственного сотрудника за оказание услуг в период действия Контракта.</w:t>
      </w:r>
    </w:p>
    <w:p w14:paraId="24000000">
      <w:pPr>
        <w:ind/>
        <w:jc w:val="both"/>
        <w:rPr>
          <w:sz w:val="22"/>
        </w:rPr>
      </w:pPr>
      <w:r>
        <w:rPr>
          <w:sz w:val="22"/>
        </w:rPr>
        <w:t xml:space="preserve">3.3.2. Оказывать услуги в сроки, установленные Контрактом, а также в заявке Заказчика, в соответствии с требованиями к техническому заданию (Приложение № 1) к Контракту. </w:t>
      </w:r>
    </w:p>
    <w:p w14:paraId="25000000">
      <w:pPr>
        <w:ind/>
        <w:jc w:val="both"/>
        <w:rPr>
          <w:sz w:val="22"/>
        </w:rPr>
      </w:pPr>
      <w:r>
        <w:rPr>
          <w:sz w:val="22"/>
        </w:rPr>
        <w:t>3.3.3. Незамедлительно уведомлять Заказчика в письменной форме о появлении не зависящих от Исполнителя обстоятельств, которые создают невозможность оказания услуг в установленные сроки.</w:t>
      </w:r>
    </w:p>
    <w:p w14:paraId="26000000">
      <w:pPr>
        <w:widowControl w:val="0"/>
        <w:ind/>
        <w:jc w:val="both"/>
        <w:rPr>
          <w:sz w:val="22"/>
        </w:rPr>
      </w:pPr>
      <w:r>
        <w:rPr>
          <w:sz w:val="22"/>
        </w:rPr>
        <w:t xml:space="preserve">3.3.4. Передать надлежащим образом оформленные отчётные и финансовые документы (счет; счет-фактура; </w:t>
      </w:r>
      <w:r>
        <w:rPr>
          <w:sz w:val="22"/>
        </w:rPr>
        <w:t>акт</w:t>
      </w:r>
      <w:r>
        <w:rPr>
          <w:sz w:val="22"/>
        </w:rPr>
        <w:t xml:space="preserve"> </w:t>
      </w:r>
      <w:r>
        <w:rPr>
          <w:sz w:val="22"/>
        </w:rPr>
        <w:t>приема-сдачи оказанных услуг</w:t>
      </w:r>
      <w:r>
        <w:rPr>
          <w:sz w:val="22"/>
        </w:rPr>
        <w:t xml:space="preserve">) в порядке и сроки, установленные </w:t>
      </w:r>
      <w:r>
        <w:rPr>
          <w:sz w:val="22"/>
        </w:rPr>
        <w:t>К</w:t>
      </w:r>
      <w:r>
        <w:rPr>
          <w:sz w:val="22"/>
        </w:rPr>
        <w:t>онтрактом.</w:t>
      </w:r>
    </w:p>
    <w:p w14:paraId="27000000">
      <w:pPr>
        <w:ind/>
        <w:jc w:val="both"/>
        <w:rPr>
          <w:sz w:val="22"/>
        </w:rPr>
      </w:pPr>
      <w:r>
        <w:rPr>
          <w:color w:val="000000"/>
          <w:sz w:val="22"/>
        </w:rPr>
        <w:t>3.3.5. Принимать и регистрировать заявки</w:t>
      </w:r>
      <w:r>
        <w:rPr>
          <w:sz w:val="22"/>
        </w:rPr>
        <w:t xml:space="preserve"> от Заказчика</w:t>
      </w:r>
    </w:p>
    <w:p w14:paraId="28000000">
      <w:pPr>
        <w:ind/>
        <w:jc w:val="both"/>
        <w:rPr>
          <w:sz w:val="22"/>
        </w:rPr>
      </w:pPr>
      <w:r>
        <w:rPr>
          <w:color w:val="000000"/>
          <w:sz w:val="22"/>
        </w:rPr>
        <w:t xml:space="preserve">3.3.6 Оказывать услуги </w:t>
      </w:r>
      <w:r>
        <w:rPr>
          <w:sz w:val="22"/>
        </w:rPr>
        <w:t xml:space="preserve">по </w:t>
      </w:r>
      <w:r>
        <w:rPr>
          <w:color w:val="000000"/>
          <w:sz w:val="22"/>
        </w:rPr>
        <w:t>заявкам Заказчика</w:t>
      </w:r>
    </w:p>
    <w:p w14:paraId="29000000">
      <w:pPr>
        <w:ind/>
        <w:jc w:val="both"/>
        <w:rPr>
          <w:sz w:val="22"/>
        </w:rPr>
      </w:pPr>
      <w:r>
        <w:rPr>
          <w:color w:val="000000"/>
          <w:sz w:val="22"/>
        </w:rPr>
        <w:t xml:space="preserve">3.3.7. Иметь </w:t>
      </w:r>
      <w:r>
        <w:rPr>
          <w:sz w:val="22"/>
        </w:rPr>
        <w:t>сервисную службу. Вызов инженера осуществляется по телефону сервисной службы Исполнителя____________</w:t>
      </w:r>
    </w:p>
    <w:p w14:paraId="2A000000">
      <w:pPr>
        <w:ind/>
        <w:jc w:val="both"/>
        <w:rPr>
          <w:color w:val="000000"/>
          <w:sz w:val="22"/>
        </w:rPr>
      </w:pPr>
      <w:r>
        <w:rPr>
          <w:sz w:val="22"/>
        </w:rPr>
        <w:t xml:space="preserve">3.3.8. </w:t>
      </w:r>
      <w:r>
        <w:rPr>
          <w:color w:val="000000"/>
          <w:sz w:val="22"/>
        </w:rPr>
        <w:t xml:space="preserve">Обеспечить прибытие </w:t>
      </w:r>
      <w:r>
        <w:rPr>
          <w:sz w:val="22"/>
        </w:rPr>
        <w:t>инженера в течение 2 рабочих дней с момента поступления заявки от Заказчика.</w:t>
      </w:r>
    </w:p>
    <w:p w14:paraId="2B000000">
      <w:pPr>
        <w:ind/>
        <w:jc w:val="both"/>
        <w:rPr>
          <w:color w:val="000000"/>
          <w:sz w:val="22"/>
        </w:rPr>
      </w:pPr>
      <w:r>
        <w:rPr>
          <w:color w:val="000000"/>
          <w:sz w:val="22"/>
        </w:rPr>
        <w:t xml:space="preserve">3.3.9. </w:t>
      </w:r>
      <w:r>
        <w:rPr>
          <w:sz w:val="22"/>
        </w:rPr>
        <w:t>Привлекать к оказанию услуг квалифицированных специалистов.</w:t>
      </w:r>
      <w:r>
        <w:rPr>
          <w:color w:val="000000"/>
          <w:sz w:val="22"/>
        </w:rPr>
        <w:t xml:space="preserve"> </w:t>
      </w:r>
    </w:p>
    <w:p w14:paraId="2C000000">
      <w:pPr>
        <w:tabs>
          <w:tab w:leader="none" w:pos="0" w:val="left"/>
          <w:tab w:leader="none" w:pos="567" w:val="left"/>
          <w:tab w:leader="none" w:pos="6237" w:val="left"/>
        </w:tabs>
        <w:ind/>
        <w:jc w:val="both"/>
        <w:rPr>
          <w:sz w:val="22"/>
        </w:rPr>
      </w:pPr>
      <w:r>
        <w:rPr>
          <w:color w:val="000000"/>
          <w:sz w:val="22"/>
        </w:rPr>
        <w:t>3.3.10. О</w:t>
      </w:r>
      <w:r>
        <w:rPr>
          <w:sz w:val="22"/>
        </w:rPr>
        <w:t>существлять устранение неисправности на месте либо путем необходимой профилактики оборудования, либо заменой комплектующей на новую (комплектующие предоставляются Заказчиком). Снятые комплектующие остаются у Заказчика.</w:t>
      </w:r>
    </w:p>
    <w:p w14:paraId="2D000000">
      <w:pPr>
        <w:widowControl w:val="0"/>
        <w:tabs>
          <w:tab w:leader="none" w:pos="426" w:val="left"/>
        </w:tabs>
        <w:ind/>
        <w:jc w:val="both"/>
        <w:rPr>
          <w:sz w:val="22"/>
        </w:rPr>
      </w:pPr>
      <w:r>
        <w:rPr>
          <w:sz w:val="22"/>
        </w:rPr>
        <w:t xml:space="preserve">3.3.11. </w:t>
      </w:r>
      <w:r>
        <w:rPr>
          <w:sz w:val="22"/>
        </w:rPr>
        <w:t>В срок, установленный Заказчиком, устранять обнаруженные недостатки за счет собственных средств.</w:t>
      </w:r>
    </w:p>
    <w:p w14:paraId="2E000000">
      <w:pPr>
        <w:ind/>
        <w:jc w:val="both"/>
        <w:rPr>
          <w:sz w:val="22"/>
        </w:rPr>
      </w:pPr>
      <w:r>
        <w:rPr>
          <w:sz w:val="22"/>
        </w:rPr>
        <w:t xml:space="preserve">3.3.12. Картриджи после заправки или восстановления проверяются в присутствии представителя Заказчика. Окончание оказания услуг оформляется актом сдачи-приемки </w:t>
      </w:r>
      <w:r>
        <w:rPr>
          <w:sz w:val="22"/>
        </w:rPr>
        <w:t>оказанных услуг</w:t>
      </w:r>
      <w:r>
        <w:rPr>
          <w:sz w:val="22"/>
        </w:rPr>
        <w:t>.</w:t>
      </w:r>
    </w:p>
    <w:p w14:paraId="2F000000">
      <w:pPr>
        <w:ind/>
        <w:jc w:val="both"/>
        <w:rPr>
          <w:sz w:val="22"/>
        </w:rPr>
      </w:pPr>
      <w:r>
        <w:rPr>
          <w:sz w:val="22"/>
        </w:rPr>
        <w:t xml:space="preserve">3.3.13. </w:t>
      </w:r>
      <w:r>
        <w:rPr>
          <w:sz w:val="22"/>
        </w:rPr>
        <w:t>Услуги по з</w:t>
      </w:r>
      <w:r>
        <w:rPr>
          <w:sz w:val="22"/>
        </w:rPr>
        <w:t>аявкам</w:t>
      </w:r>
      <w:r>
        <w:rPr>
          <w:sz w:val="22"/>
        </w:rPr>
        <w:t xml:space="preserve"> на заправку картриджей выполняются Исполнителем по адресу местонахождения Заказчика, в удобном для Заказчика месте.</w:t>
      </w:r>
    </w:p>
    <w:p w14:paraId="30000000">
      <w:pPr>
        <w:ind/>
        <w:jc w:val="both"/>
        <w:rPr>
          <w:sz w:val="22"/>
        </w:rPr>
      </w:pPr>
      <w:r>
        <w:rPr>
          <w:sz w:val="22"/>
        </w:rPr>
        <w:t>3.3.14. После выполнения заправки, восстановления картриджей Исполнитель должен оставить рабочее место чистым.</w:t>
      </w:r>
    </w:p>
    <w:p w14:paraId="31000000">
      <w:pPr>
        <w:widowControl w:val="0"/>
        <w:ind/>
        <w:jc w:val="both"/>
        <w:rPr>
          <w:i w:val="1"/>
          <w:sz w:val="22"/>
        </w:rPr>
      </w:pPr>
      <w:r>
        <w:rPr>
          <w:i w:val="1"/>
          <w:sz w:val="22"/>
        </w:rPr>
        <w:t>3.4. Исполнитель имеет право:</w:t>
      </w:r>
    </w:p>
    <w:p w14:paraId="32000000">
      <w:pPr>
        <w:widowControl w:val="0"/>
        <w:ind/>
        <w:jc w:val="both"/>
        <w:rPr>
          <w:sz w:val="22"/>
        </w:rPr>
      </w:pPr>
      <w:r>
        <w:rPr>
          <w:sz w:val="22"/>
        </w:rPr>
        <w:t>3.4.1. Требовать от Заказчика подписания документов об исполнении им обязательств по контракту.</w:t>
      </w:r>
    </w:p>
    <w:p w14:paraId="33000000">
      <w:pPr>
        <w:widowControl w:val="0"/>
        <w:ind/>
        <w:jc w:val="both"/>
        <w:rPr>
          <w:sz w:val="22"/>
        </w:rPr>
      </w:pPr>
      <w:r>
        <w:rPr>
          <w:sz w:val="22"/>
        </w:rPr>
        <w:t>3.4.2. Требовать от Заказчика оплаты по настоящему Контракту в случае полного исполнения обязательств по настоящему Контракту.</w:t>
      </w:r>
    </w:p>
    <w:p w14:paraId="34000000">
      <w:pPr>
        <w:widowControl w:val="0"/>
        <w:ind/>
        <w:jc w:val="both"/>
        <w:rPr>
          <w:sz w:val="22"/>
        </w:rPr>
      </w:pPr>
    </w:p>
    <w:p w14:paraId="35000000">
      <w:pPr>
        <w:widowControl w:val="0"/>
        <w:ind/>
        <w:jc w:val="center"/>
        <w:outlineLvl w:val="0"/>
        <w:rPr>
          <w:b w:val="1"/>
          <w:sz w:val="22"/>
        </w:rPr>
      </w:pPr>
      <w:r>
        <w:rPr>
          <w:b w:val="1"/>
          <w:sz w:val="22"/>
        </w:rPr>
        <w:t>4.</w:t>
      </w:r>
      <w:r>
        <w:rPr>
          <w:b w:val="1"/>
          <w:sz w:val="22"/>
        </w:rPr>
        <w:t xml:space="preserve"> ЦЕНА КОНТРАКТА И ПОРЯДОК РАСЧЁТОВ</w:t>
      </w:r>
    </w:p>
    <w:p w14:paraId="36000000">
      <w:pPr>
        <w:widowControl w:val="0"/>
        <w:tabs>
          <w:tab w:leader="none" w:pos="900" w:val="left"/>
        </w:tabs>
        <w:ind/>
        <w:jc w:val="both"/>
        <w:rPr>
          <w:sz w:val="22"/>
        </w:rPr>
      </w:pPr>
      <w:r>
        <w:rPr>
          <w:sz w:val="20"/>
        </w:rPr>
        <w:t xml:space="preserve">4.1. Цена по настоящему Контракту </w:t>
      </w:r>
      <w:r>
        <w:rPr>
          <w:sz w:val="20"/>
        </w:rPr>
        <w:t>__________________</w:t>
      </w:r>
      <w:r>
        <w:rPr>
          <w:sz w:val="22"/>
        </w:rPr>
        <w:t>,</w:t>
      </w:r>
      <w:r>
        <w:t xml:space="preserve"> </w:t>
      </w:r>
      <w:r>
        <w:rPr>
          <w:sz w:val="22"/>
        </w:rPr>
        <w:t>в соответствии с расчетом цены оказываемых услуг (приложение № 2) к контракту</w:t>
      </w:r>
      <w:r>
        <w:rPr>
          <w:b w:val="1"/>
          <w:sz w:val="22"/>
        </w:rPr>
        <w:t>.</w:t>
      </w:r>
    </w:p>
    <w:p w14:paraId="37000000">
      <w:pPr>
        <w:ind/>
        <w:jc w:val="both"/>
        <w:rPr>
          <w:sz w:val="22"/>
        </w:rPr>
      </w:pPr>
      <w:r>
        <w:rPr>
          <w:sz w:val="22"/>
        </w:rPr>
        <w:t>4.2.</w:t>
      </w:r>
      <w:r>
        <w:rPr>
          <w:sz w:val="22"/>
        </w:rPr>
        <w:t xml:space="preserve"> </w:t>
      </w:r>
      <w:r>
        <w:rPr>
          <w:sz w:val="22"/>
        </w:rPr>
        <w:t>Цена</w:t>
      </w:r>
      <w:r>
        <w:rPr>
          <w:sz w:val="22"/>
        </w:rPr>
        <w:t xml:space="preserve"> контракта является твердой и определена на весь период действия контракта, но может быть снижена по соглашению сторон без изменения предусмотренного контрактом объёма </w:t>
      </w:r>
      <w:r>
        <w:rPr>
          <w:sz w:val="22"/>
        </w:rPr>
        <w:t xml:space="preserve">и качества </w:t>
      </w:r>
      <w:r>
        <w:rPr>
          <w:sz w:val="22"/>
        </w:rPr>
        <w:t>оказываемых услуг и иных условий контракта.</w:t>
      </w:r>
    </w:p>
    <w:p w14:paraId="38000000">
      <w:pPr>
        <w:ind/>
        <w:jc w:val="both"/>
        <w:rPr>
          <w:sz w:val="22"/>
        </w:rPr>
      </w:pPr>
      <w:r>
        <w:t xml:space="preserve"> </w:t>
      </w:r>
      <w:bookmarkStart w:id="1" w:name="_GoBack"/>
      <w:bookmarkEnd w:id="1"/>
      <w:r>
        <w:rPr>
          <w:sz w:val="22"/>
        </w:rPr>
        <w:t>4.3. Авансирование по Контракту не предусмотрено.</w:t>
      </w:r>
    </w:p>
    <w:p w14:paraId="39000000">
      <w:pPr>
        <w:ind/>
        <w:jc w:val="both"/>
        <w:rPr>
          <w:sz w:val="22"/>
        </w:rPr>
      </w:pPr>
      <w:r>
        <w:rPr>
          <w:sz w:val="22"/>
        </w:rPr>
        <w:t xml:space="preserve">4.4. По предложению Заказчика возможно увеличение предусмотренных контрактом объемов услуг не более чем на десять процентов или уменьшение предусмотренных контрактом объемов оказываемых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объемов услуг Стороны обязаны уменьшить цену контракта исходя из цены единицы услуги. </w:t>
      </w:r>
    </w:p>
    <w:p w14:paraId="3A000000">
      <w:pPr>
        <w:ind/>
        <w:jc w:val="both"/>
        <w:rPr>
          <w:sz w:val="22"/>
        </w:rPr>
      </w:pPr>
      <w:r>
        <w:rPr>
          <w:sz w:val="22"/>
        </w:rPr>
        <w:t>4.5. Основанием для оплаты является акт сдачи-приемки оказанных услуг, подписанный Заказчиком и Исполнителем.</w:t>
      </w:r>
    </w:p>
    <w:p w14:paraId="3B000000">
      <w:pPr>
        <w:ind/>
        <w:jc w:val="both"/>
        <w:rPr>
          <w:sz w:val="22"/>
        </w:rPr>
      </w:pPr>
      <w:bookmarkStart w:id="2" w:name="OLE_LINK2"/>
      <w:bookmarkStart w:id="3" w:name="OLE_LINK1"/>
      <w:r>
        <w:rPr>
          <w:sz w:val="22"/>
        </w:rPr>
        <w:t xml:space="preserve">4.6. </w:t>
      </w:r>
      <w:bookmarkEnd w:id="2"/>
      <w:bookmarkEnd w:id="3"/>
      <w:r>
        <w:rPr>
          <w:sz w:val="22"/>
        </w:rPr>
        <w:t xml:space="preserve">Оплата за оказанные услуги осуществляется Заказчиком по казначейской системе оплаты  за фактически оказанные услуги в безналичной форме путем перечисления денежных средств на расчетный счет Исполнителя, в течение </w:t>
      </w:r>
      <w:r>
        <w:rPr>
          <w:sz w:val="22"/>
        </w:rPr>
        <w:t>10 (рабочих)</w:t>
      </w:r>
      <w:r>
        <w:rPr>
          <w:sz w:val="22"/>
        </w:rPr>
        <w:t xml:space="preserve"> дней с момента подписания Сторонами актов сдачи-приемки оказанных услуг, согласно графику приема поручений на оплату расходов. </w:t>
      </w:r>
    </w:p>
    <w:p w14:paraId="3C000000">
      <w:pPr>
        <w:ind/>
        <w:jc w:val="both"/>
        <w:rPr>
          <w:sz w:val="22"/>
        </w:rPr>
      </w:pPr>
      <w:r>
        <w:rPr>
          <w:sz w:val="22"/>
        </w:rPr>
        <w:t>4.7. За услуги, оказываемые в декабре 202</w:t>
      </w:r>
      <w:r>
        <w:rPr>
          <w:sz w:val="22"/>
        </w:rPr>
        <w:t>6</w:t>
      </w:r>
      <w:r>
        <w:rPr>
          <w:sz w:val="22"/>
        </w:rPr>
        <w:t xml:space="preserve"> г., оплата производится Заказчиком не позднее 29</w:t>
      </w:r>
      <w:r>
        <w:rPr>
          <w:sz w:val="22"/>
        </w:rPr>
        <w:t>.12.202</w:t>
      </w:r>
      <w:r>
        <w:rPr>
          <w:sz w:val="22"/>
        </w:rPr>
        <w:t>6</w:t>
      </w:r>
      <w:r>
        <w:rPr>
          <w:sz w:val="22"/>
        </w:rPr>
        <w:t xml:space="preserve"> г., на основании выставленного Исполнителем счёта на предоплату, с последующим предоставлением акта оказанных услуг, не позднее 31.12.202</w:t>
      </w:r>
      <w:r>
        <w:rPr>
          <w:sz w:val="22"/>
        </w:rPr>
        <w:t>56</w:t>
      </w:r>
      <w:r>
        <w:rPr>
          <w:sz w:val="22"/>
        </w:rPr>
        <w:t xml:space="preserve"> г. и подписанием Сторонами акта сверки.  </w:t>
      </w:r>
    </w:p>
    <w:p w14:paraId="3D000000">
      <w:pPr>
        <w:widowControl w:val="0"/>
        <w:tabs>
          <w:tab w:leader="none" w:pos="567" w:val="left"/>
        </w:tabs>
        <w:ind/>
        <w:jc w:val="both"/>
        <w:rPr>
          <w:sz w:val="22"/>
        </w:rPr>
      </w:pPr>
      <w:r>
        <w:rPr>
          <w:sz w:val="22"/>
        </w:rPr>
        <w:t>4.8. Услуги, оказанные Исполнителем с отклонениями от условий контракта, а также требований, установленных Техническим заданием (приложение № 1) к контракту, нормативными правовыми актами или иными недостатками не подлежат оплате Заказчиком до устранения Исполнителем обнаруженных недостатков.</w:t>
      </w:r>
    </w:p>
    <w:p w14:paraId="3E000000">
      <w:r>
        <w:rPr>
          <w:sz w:val="22"/>
        </w:rPr>
        <w:t>4.9. По окончании исполнения Своих обязательств по контракту Стороны в течение 5 рабочих дней подписывают акт сверки</w:t>
      </w:r>
      <w:r>
        <w:t>.</w:t>
      </w:r>
    </w:p>
    <w:p w14:paraId="3F000000">
      <w:pPr>
        <w:ind/>
        <w:jc w:val="both"/>
        <w:rPr>
          <w:b w:val="1"/>
          <w:sz w:val="22"/>
        </w:rPr>
      </w:pPr>
    </w:p>
    <w:p w14:paraId="40000000">
      <w:pPr>
        <w:widowControl w:val="0"/>
        <w:ind/>
        <w:jc w:val="center"/>
        <w:outlineLvl w:val="0"/>
        <w:rPr>
          <w:b w:val="1"/>
          <w:sz w:val="22"/>
        </w:rPr>
      </w:pPr>
    </w:p>
    <w:p w14:paraId="41000000">
      <w:pPr>
        <w:widowControl w:val="0"/>
        <w:ind/>
        <w:jc w:val="center"/>
        <w:outlineLvl w:val="0"/>
        <w:rPr>
          <w:b w:val="1"/>
          <w:sz w:val="22"/>
        </w:rPr>
      </w:pPr>
      <w:r>
        <w:rPr>
          <w:b w:val="1"/>
          <w:sz w:val="22"/>
        </w:rPr>
        <w:t>5. ПОРЯДОК СДАЧИ-ПРИЁМКИ</w:t>
      </w:r>
    </w:p>
    <w:p w14:paraId="42000000">
      <w:pPr>
        <w:pStyle w:val="Style_3"/>
        <w:ind/>
        <w:jc w:val="both"/>
        <w:rPr>
          <w:rFonts w:ascii="Times New Roman" w:hAnsi="Times New Roman"/>
          <w:b w:val="0"/>
        </w:rPr>
      </w:pPr>
      <w:r>
        <w:rPr>
          <w:rFonts w:ascii="Times New Roman" w:hAnsi="Times New Roman"/>
          <w:b w:val="0"/>
        </w:rPr>
        <w:t xml:space="preserve">5.1. </w:t>
      </w:r>
      <w:r>
        <w:rPr>
          <w:rFonts w:ascii="Times New Roman" w:hAnsi="Times New Roman"/>
          <w:b w:val="0"/>
        </w:rPr>
        <w:t>Оказание услуг по заправке и восстановлению лазерных картриджей представляют собой выполнение уполномоченными</w:t>
      </w:r>
      <w:r>
        <w:rPr>
          <w:rFonts w:ascii="Times New Roman" w:hAnsi="Times New Roman"/>
          <w:b w:val="0"/>
        </w:rPr>
        <w:t xml:space="preserve"> специалистами Исполнителя установленных Контрактом услуг, которые выполняются в соответствии с </w:t>
      </w:r>
      <w:r>
        <w:rPr>
          <w:rFonts w:ascii="Times New Roman" w:hAnsi="Times New Roman"/>
          <w:b w:val="0"/>
        </w:rPr>
        <w:t xml:space="preserve">Техническим заданием (Приложение </w:t>
      </w:r>
      <w:r>
        <w:rPr>
          <w:rFonts w:ascii="Times New Roman" w:hAnsi="Times New Roman"/>
          <w:b w:val="0"/>
        </w:rPr>
        <w:t>№ 1</w:t>
      </w:r>
      <w:r>
        <w:rPr>
          <w:rFonts w:ascii="Times New Roman" w:hAnsi="Times New Roman"/>
          <w:b w:val="0"/>
        </w:rPr>
        <w:t>)</w:t>
      </w:r>
      <w:r>
        <w:rPr>
          <w:rFonts w:ascii="Times New Roman" w:hAnsi="Times New Roman"/>
          <w:b w:val="0"/>
        </w:rPr>
        <w:t xml:space="preserve"> </w:t>
      </w:r>
      <w:r>
        <w:rPr>
          <w:rFonts w:ascii="Times New Roman" w:hAnsi="Times New Roman"/>
          <w:b w:val="0"/>
        </w:rPr>
        <w:t xml:space="preserve"> к Контракту</w:t>
      </w:r>
      <w:r>
        <w:rPr>
          <w:rFonts w:ascii="Times New Roman" w:hAnsi="Times New Roman"/>
          <w:b w:val="0"/>
        </w:rPr>
        <w:t>.</w:t>
      </w:r>
    </w:p>
    <w:p w14:paraId="43000000">
      <w:pPr>
        <w:pStyle w:val="Style_4"/>
        <w:rPr>
          <w:sz w:val="22"/>
        </w:rPr>
      </w:pPr>
      <w:r>
        <w:rPr>
          <w:sz w:val="22"/>
        </w:rPr>
        <w:t xml:space="preserve">5.2. </w:t>
      </w:r>
      <w:r>
        <w:rPr>
          <w:sz w:val="22"/>
        </w:rPr>
        <w:t xml:space="preserve">Сдача результата </w:t>
      </w:r>
      <w:r>
        <w:rPr>
          <w:sz w:val="22"/>
        </w:rPr>
        <w:t xml:space="preserve">оказанных услуг </w:t>
      </w:r>
      <w:r>
        <w:rPr>
          <w:sz w:val="22"/>
        </w:rPr>
        <w:t xml:space="preserve">Исполнителем и приемка их Заказчиком оформляется актом сдачи-приемки </w:t>
      </w:r>
      <w:r>
        <w:rPr>
          <w:sz w:val="22"/>
        </w:rPr>
        <w:t>оказанных услуг</w:t>
      </w:r>
      <w:r>
        <w:rPr>
          <w:sz w:val="22"/>
        </w:rPr>
        <w:t>, подписанным представителями Сторон на основании актов технического обслуживания по каждому Объекту, подписанных Исполнителем и уполномоченным представителем Заказчика.</w:t>
      </w:r>
    </w:p>
    <w:p w14:paraId="44000000">
      <w:pPr>
        <w:widowControl w:val="0"/>
        <w:ind/>
        <w:jc w:val="both"/>
        <w:rPr>
          <w:sz w:val="22"/>
        </w:rPr>
      </w:pPr>
      <w:r>
        <w:rPr>
          <w:sz w:val="22"/>
        </w:rPr>
        <w:t xml:space="preserve">5.3. Заказчик, получивший </w:t>
      </w:r>
      <w:r>
        <w:rPr>
          <w:sz w:val="22"/>
        </w:rPr>
        <w:t>акт сдачи-приемки оказанных услуг</w:t>
      </w:r>
      <w:r>
        <w:rPr>
          <w:sz w:val="22"/>
        </w:rPr>
        <w:t>, приступает к проверке и приемке результата услуг. Приемка услуг осуществляется в течение 3 (трех) рабочих дней.</w:t>
      </w:r>
    </w:p>
    <w:p w14:paraId="45000000">
      <w:pPr>
        <w:ind/>
        <w:jc w:val="both"/>
        <w:rPr>
          <w:sz w:val="22"/>
        </w:rPr>
      </w:pPr>
      <w:r>
        <w:rPr>
          <w:sz w:val="22"/>
        </w:rPr>
        <w:t xml:space="preserve">5.4. </w:t>
      </w:r>
      <w:r>
        <w:rPr>
          <w:sz w:val="22"/>
        </w:rPr>
        <w:t xml:space="preserve">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 проводит экспертизу. Экспертиза результатов оказанных услуг, предусмотренных Контрактом, проводится Заказчиком своими силами, при этом </w:t>
      </w:r>
      <w:r>
        <w:rPr>
          <w:sz w:val="22"/>
        </w:rPr>
        <w:t xml:space="preserve">Заказчик вправе принять решение о проведении экспертизы результатов </w:t>
      </w:r>
      <w:r>
        <w:rPr>
          <w:sz w:val="22"/>
        </w:rPr>
        <w:t>оказанных услуг</w:t>
      </w:r>
      <w:r>
        <w:rPr>
          <w:sz w:val="22"/>
        </w:rPr>
        <w:t xml:space="preserve"> с привлечением экспертов, экспертных организаций.</w:t>
      </w:r>
    </w:p>
    <w:p w14:paraId="46000000">
      <w:pPr>
        <w:ind/>
        <w:jc w:val="both"/>
        <w:rPr>
          <w:sz w:val="22"/>
        </w:rPr>
      </w:pPr>
      <w:r>
        <w:rPr>
          <w:sz w:val="22"/>
        </w:rPr>
        <w:t xml:space="preserve">5.4.1. </w:t>
      </w:r>
      <w:r>
        <w:rPr>
          <w:sz w:val="22"/>
        </w:rPr>
        <w:t>Для проведения экспертизы результатов оказанных услуг Заказчик назначает своих сотрудников в количестве 5 (пяти) человек (далее – приемочная комиссия).</w:t>
      </w:r>
    </w:p>
    <w:p w14:paraId="47000000">
      <w:pPr>
        <w:ind/>
        <w:jc w:val="both"/>
        <w:rPr>
          <w:sz w:val="22"/>
        </w:rPr>
      </w:pPr>
      <w:r>
        <w:rPr>
          <w:sz w:val="22"/>
        </w:rPr>
        <w:t xml:space="preserve">5.4.2. </w:t>
      </w:r>
      <w:r>
        <w:rPr>
          <w:sz w:val="22"/>
        </w:rPr>
        <w:t xml:space="preserve">Исполнитель предоставляет Заказчику результат </w:t>
      </w:r>
      <w:r>
        <w:rPr>
          <w:sz w:val="22"/>
        </w:rPr>
        <w:t>оказанных услуг</w:t>
      </w:r>
      <w:r>
        <w:rPr>
          <w:sz w:val="22"/>
        </w:rPr>
        <w:t xml:space="preserve"> в течение 1 (одного) дня следующего за днем окончания </w:t>
      </w:r>
      <w:r>
        <w:rPr>
          <w:sz w:val="22"/>
        </w:rPr>
        <w:t>оказанных услуг</w:t>
      </w:r>
      <w:r>
        <w:rPr>
          <w:sz w:val="22"/>
        </w:rPr>
        <w:t>.</w:t>
      </w:r>
    </w:p>
    <w:p w14:paraId="48000000">
      <w:pPr>
        <w:ind/>
        <w:jc w:val="both"/>
        <w:rPr>
          <w:sz w:val="22"/>
        </w:rPr>
      </w:pPr>
      <w:r>
        <w:rPr>
          <w:sz w:val="22"/>
        </w:rPr>
        <w:t xml:space="preserve">5.5. Приемочная комиссия проводит экспертизу результатов </w:t>
      </w:r>
      <w:r>
        <w:rPr>
          <w:sz w:val="22"/>
        </w:rPr>
        <w:t>оказанных услуг</w:t>
      </w:r>
      <w:r>
        <w:rPr>
          <w:sz w:val="22"/>
        </w:rPr>
        <w:t xml:space="preserve"> в течение 3 (трех) рабочих дней оформляет заключение по результатам экспертизы, которое утверждается Заказчиком.</w:t>
      </w:r>
    </w:p>
    <w:p w14:paraId="49000000">
      <w:pPr>
        <w:ind/>
        <w:jc w:val="both"/>
        <w:rPr>
          <w:sz w:val="22"/>
        </w:rPr>
      </w:pPr>
      <w:r>
        <w:rPr>
          <w:sz w:val="22"/>
        </w:rPr>
        <w:t xml:space="preserve">В случае если по результатам такой экспертизы выявлено, что работы соответствуют условиям Контракта, Заказчик принимает результат </w:t>
      </w:r>
      <w:r>
        <w:rPr>
          <w:sz w:val="22"/>
        </w:rPr>
        <w:t>оказанных услуг</w:t>
      </w:r>
      <w:r>
        <w:rPr>
          <w:sz w:val="22"/>
        </w:rPr>
        <w:t xml:space="preserve"> путем подписания акта </w:t>
      </w:r>
      <w:r>
        <w:rPr>
          <w:sz w:val="22"/>
        </w:rPr>
        <w:t>сдачи-приемки оказанных услуг</w:t>
      </w:r>
      <w:r>
        <w:rPr>
          <w:sz w:val="22"/>
        </w:rPr>
        <w:t>.</w:t>
      </w:r>
    </w:p>
    <w:p w14:paraId="4A000000">
      <w:pPr>
        <w:widowControl w:val="0"/>
        <w:ind/>
        <w:jc w:val="both"/>
        <w:rPr>
          <w:sz w:val="22"/>
        </w:rPr>
      </w:pPr>
      <w:r>
        <w:rPr>
          <w:sz w:val="22"/>
        </w:rPr>
        <w:t xml:space="preserve">5.6. При обнаружении приемочной комиссией, в ходе проведения экспертизы результатов </w:t>
      </w:r>
      <w:r>
        <w:rPr>
          <w:sz w:val="22"/>
        </w:rPr>
        <w:t>оказанных услуг,</w:t>
      </w:r>
      <w:r>
        <w:rPr>
          <w:sz w:val="22"/>
        </w:rPr>
        <w:t xml:space="preserve"> недостатков, приемочной комиссией составляется рекламационный акт, в котором фиксируется перечень дефектов (недоделок) и сроки их устранения Исполнителем. Указанный рекламационный акт в тот же день направляется Заказчиком в адрес Исполнителя, при этом Заказчиком составляется мотивированный отказ от подписания </w:t>
      </w:r>
      <w:r>
        <w:rPr>
          <w:sz w:val="22"/>
        </w:rPr>
        <w:t>сдачи-приемки оказанных услуг</w:t>
      </w:r>
      <w:r>
        <w:rPr>
          <w:sz w:val="22"/>
        </w:rPr>
        <w:t>.</w:t>
      </w:r>
    </w:p>
    <w:p w14:paraId="4B000000">
      <w:pPr>
        <w:widowControl w:val="0"/>
        <w:ind/>
        <w:jc w:val="both"/>
        <w:rPr>
          <w:sz w:val="22"/>
        </w:rPr>
      </w:pPr>
      <w:r>
        <w:rPr>
          <w:sz w:val="22"/>
        </w:rPr>
        <w:t xml:space="preserve">5.7. Исполнитель обязан устранить все обнаруженные недостатки своими силами и за свой счет в сроки, указанные в рекламационном акте. </w:t>
      </w:r>
    </w:p>
    <w:p w14:paraId="4C000000">
      <w:pPr>
        <w:widowControl w:val="0"/>
        <w:ind/>
        <w:jc w:val="both"/>
        <w:rPr>
          <w:sz w:val="22"/>
        </w:rPr>
      </w:pPr>
      <w:r>
        <w:rPr>
          <w:sz w:val="22"/>
        </w:rPr>
        <w:t>5.8. После оказания Исполнителем услуг по устранению недостатков приемочная комиссия проводит экспертизу результатов оказанных услуг в порядке, установленном пунктами 5.3.-5.7 настоящего раздела.</w:t>
      </w:r>
    </w:p>
    <w:p w14:paraId="4D000000">
      <w:pPr>
        <w:widowControl w:val="0"/>
        <w:ind/>
        <w:jc w:val="both"/>
        <w:rPr>
          <w:sz w:val="22"/>
        </w:rPr>
      </w:pPr>
      <w:r>
        <w:rPr>
          <w:sz w:val="22"/>
        </w:rPr>
        <w:t>5.9. Устранение Исполнителем в установленные сроки выявленных Заказчиком недостатков не освобождает его от уплаты неустойки и (или) штрафа, предусмотренных настоящим Контрактом.</w:t>
      </w:r>
    </w:p>
    <w:p w14:paraId="4E000000">
      <w:pPr>
        <w:widowControl w:val="0"/>
        <w:ind/>
        <w:jc w:val="both"/>
        <w:rPr>
          <w:sz w:val="22"/>
        </w:rPr>
      </w:pPr>
      <w:r>
        <w:rPr>
          <w:sz w:val="22"/>
        </w:rPr>
        <w:t xml:space="preserve">5.10. Заказчик вправе отказаться от приемки услуг в случае обнаружения недостатков, которые исключают эксплуатацию использование </w:t>
      </w:r>
      <w:r>
        <w:rPr>
          <w:sz w:val="22"/>
        </w:rPr>
        <w:t>автоматизированных рабочих мест</w:t>
      </w:r>
      <w:r>
        <w:rPr>
          <w:sz w:val="22"/>
        </w:rPr>
        <w:t xml:space="preserve"> и </w:t>
      </w:r>
      <w:r>
        <w:rPr>
          <w:sz w:val="22"/>
        </w:rPr>
        <w:t>копировально-множительной техники,</w:t>
      </w:r>
      <w:r>
        <w:rPr>
          <w:sz w:val="22"/>
        </w:rPr>
        <w:t xml:space="preserve"> и не могут быть устранены Исполнителем.</w:t>
      </w:r>
    </w:p>
    <w:p w14:paraId="4F000000">
      <w:pPr>
        <w:widowControl w:val="0"/>
        <w:ind/>
        <w:jc w:val="both"/>
        <w:rPr>
          <w:sz w:val="22"/>
        </w:rPr>
      </w:pPr>
      <w:r>
        <w:rPr>
          <w:sz w:val="22"/>
        </w:rPr>
        <w:t xml:space="preserve">5.11. Если Заказчиком принято решение о проведении экспертизы оказанных услуг с привлечением экспертов, экспертных организаций, Заказчик принимает результат оказанных услуг путем подписания акта </w:t>
      </w:r>
      <w:r>
        <w:rPr>
          <w:sz w:val="22"/>
        </w:rPr>
        <w:t>сдачи-приемки оказанных услуг</w:t>
      </w:r>
      <w:r>
        <w:rPr>
          <w:sz w:val="22"/>
        </w:rPr>
        <w:t xml:space="preserve"> только по результатам экспертизы оказанных услуг, если в заключении эксперта, экспертной организации установлено соответствие результата оказанных услуг условиям Контракта и соответствующих нормативных актов. В противном случае Заказчик осуществляет действия,</w:t>
      </w:r>
      <w:r>
        <w:rPr>
          <w:sz w:val="22"/>
        </w:rPr>
        <w:t xml:space="preserve"> установленные пунктами 9.4.  настоящего контракта</w:t>
      </w:r>
      <w:r>
        <w:rPr>
          <w:sz w:val="22"/>
        </w:rPr>
        <w:t xml:space="preserve">. </w:t>
      </w:r>
    </w:p>
    <w:p w14:paraId="50000000">
      <w:pPr>
        <w:widowControl w:val="0"/>
        <w:ind/>
        <w:jc w:val="both"/>
        <w:rPr>
          <w:sz w:val="22"/>
        </w:rPr>
      </w:pPr>
    </w:p>
    <w:p w14:paraId="51000000">
      <w:pPr>
        <w:widowControl w:val="0"/>
        <w:ind/>
        <w:jc w:val="center"/>
        <w:outlineLvl w:val="0"/>
        <w:rPr>
          <w:b w:val="1"/>
          <w:caps w:val="1"/>
          <w:sz w:val="22"/>
        </w:rPr>
      </w:pPr>
      <w:r>
        <w:rPr>
          <w:b w:val="1"/>
          <w:caps w:val="1"/>
          <w:sz w:val="22"/>
        </w:rPr>
        <w:t>6. ГарантиЯ и качествО</w:t>
      </w:r>
    </w:p>
    <w:p w14:paraId="52000000">
      <w:pPr>
        <w:ind/>
        <w:jc w:val="both"/>
        <w:rPr>
          <w:sz w:val="22"/>
        </w:rPr>
      </w:pPr>
      <w:r>
        <w:rPr>
          <w:sz w:val="22"/>
        </w:rPr>
        <w:t>6.1. Исполнитель обязуется оказать услуги надлежащего качества в соответствии с требованиями действующего законодательства к услугам данного вида.</w:t>
      </w:r>
    </w:p>
    <w:p w14:paraId="53000000">
      <w:pPr>
        <w:ind/>
        <w:jc w:val="both"/>
        <w:rPr>
          <w:sz w:val="22"/>
        </w:rPr>
      </w:pPr>
      <w:r>
        <w:rPr>
          <w:sz w:val="22"/>
        </w:rPr>
        <w:t>6.2. Исполнитель гарантирует доброкачественность и надежность материалов и оборудования, используемых при оказании услуг, а также оказание услуг на высоком профессиональном уровне.</w:t>
      </w:r>
    </w:p>
    <w:p w14:paraId="54000000">
      <w:pPr>
        <w:ind/>
        <w:jc w:val="both"/>
        <w:rPr>
          <w:sz w:val="22"/>
        </w:rPr>
      </w:pPr>
      <w:r>
        <w:rPr>
          <w:sz w:val="22"/>
        </w:rPr>
        <w:t xml:space="preserve">6.3. В случае нарушения требований к качеству услуг (обнаруженных неустранимых недостатков, либо недостатков, которые не могут быть устранены без несоразмерных расходов или затрат времени и других подобных недостатков) Заказчик вправе не оплачивать услуги, качество которых не соответствует </w:t>
      </w:r>
      <w:r>
        <w:rPr>
          <w:sz w:val="22"/>
        </w:rPr>
        <w:t>требованиям действующего законодательства к услугам данного рода.</w:t>
      </w:r>
    </w:p>
    <w:p w14:paraId="55000000">
      <w:pPr>
        <w:ind/>
        <w:jc w:val="both"/>
        <w:rPr>
          <w:sz w:val="22"/>
        </w:rPr>
      </w:pPr>
      <w:r>
        <w:rPr>
          <w:sz w:val="22"/>
        </w:rPr>
        <w:t xml:space="preserve"> 6.4. Исполнитель несет ответственность за недостатки (дефекты), обнаруженные в пределах 6 месяцев гарантийного срока со дня подписания акта выполненных работ,</w:t>
      </w:r>
      <w:r>
        <w:rPr>
          <w:sz w:val="22"/>
        </w:rPr>
        <w:t xml:space="preserve"> </w:t>
      </w:r>
      <w:r>
        <w:rPr>
          <w:sz w:val="22"/>
        </w:rPr>
        <w:t xml:space="preserve">если не докажет, что они произошли вследствие нормального износа объекта  или его частей, или неправильной его эксплуатации на работы, выполняемые в ходе технического обслуживания (сопровождаемые </w:t>
      </w:r>
      <w:r>
        <w:rPr>
          <w:sz w:val="22"/>
        </w:rPr>
        <w:t>заменой запасных частей), предусмотренные Техническим заданием (приложение № 2 к контракту).</w:t>
      </w:r>
    </w:p>
    <w:p w14:paraId="56000000">
      <w:pPr>
        <w:ind/>
        <w:jc w:val="both"/>
        <w:rPr>
          <w:sz w:val="22"/>
        </w:rPr>
      </w:pPr>
      <w:r>
        <w:rPr>
          <w:sz w:val="22"/>
        </w:rPr>
        <w:t xml:space="preserve">       В случае если в течение гарантийного срока обнаружится, что работа выполнена Исполнителем с отступлениями от условий настоящего Контра</w:t>
      </w:r>
      <w:r>
        <w:rPr>
          <w:sz w:val="22"/>
        </w:rPr>
        <w:t>кта, ухудшившими результат и качество работы, или с иными недостатками, кот</w:t>
      </w:r>
      <w:r>
        <w:rPr>
          <w:sz w:val="22"/>
        </w:rPr>
        <w:t xml:space="preserve">орые делают объект непригодным </w:t>
      </w:r>
      <w:r>
        <w:rPr>
          <w:sz w:val="22"/>
        </w:rPr>
        <w:t>для нормальной эксплуатации, Заказчик вправе по своему выбору потребовать от Исполнителя:</w:t>
      </w:r>
    </w:p>
    <w:p w14:paraId="57000000">
      <w:pPr>
        <w:ind/>
        <w:jc w:val="both"/>
        <w:rPr>
          <w:sz w:val="22"/>
        </w:rPr>
      </w:pPr>
      <w:r>
        <w:rPr>
          <w:sz w:val="22"/>
        </w:rPr>
        <w:t xml:space="preserve">- безвозмездного устранения недостатков в </w:t>
      </w:r>
      <w:r>
        <w:rPr>
          <w:sz w:val="22"/>
        </w:rPr>
        <w:t xml:space="preserve">разумный срок; </w:t>
      </w:r>
    </w:p>
    <w:p w14:paraId="58000000">
      <w:pPr>
        <w:ind/>
        <w:jc w:val="both"/>
        <w:rPr>
          <w:sz w:val="22"/>
        </w:rPr>
      </w:pPr>
      <w:r>
        <w:rPr>
          <w:sz w:val="22"/>
        </w:rPr>
        <w:t>- соразмерного уменьшения установленной за работу цены;</w:t>
      </w:r>
    </w:p>
    <w:p w14:paraId="59000000">
      <w:pPr>
        <w:ind/>
        <w:jc w:val="both"/>
        <w:rPr>
          <w:sz w:val="22"/>
        </w:rPr>
      </w:pPr>
      <w:r>
        <w:rPr>
          <w:sz w:val="22"/>
        </w:rPr>
        <w:t>- возмещения своих расходов на устранение недостатков, если Заказчик за свой счет устранил обнаруженные недостатки.</w:t>
      </w:r>
    </w:p>
    <w:p w14:paraId="5A000000">
      <w:pPr>
        <w:ind/>
        <w:jc w:val="both"/>
        <w:rPr>
          <w:sz w:val="22"/>
        </w:rPr>
      </w:pPr>
      <w:r>
        <w:rPr>
          <w:sz w:val="22"/>
        </w:rPr>
        <w:t xml:space="preserve">6.5. При обнаружении недостатков результата работ в </w:t>
      </w:r>
      <w:r>
        <w:rPr>
          <w:sz w:val="22"/>
        </w:rPr>
        <w:t>пределах гарантийного срока, Исполнитель должен безвозмездно устранить их своими силами и за свой счет в течение 5 (пяти) календарных дней с момента получения претензии Заказчика.</w:t>
      </w:r>
    </w:p>
    <w:p w14:paraId="5B000000">
      <w:pPr>
        <w:ind/>
        <w:jc w:val="both"/>
        <w:rPr>
          <w:sz w:val="22"/>
        </w:rPr>
      </w:pPr>
      <w:r>
        <w:rPr>
          <w:sz w:val="22"/>
        </w:rPr>
        <w:t xml:space="preserve">6.6. Течение гарантийного срока прерывается на время </w:t>
      </w:r>
      <w:r>
        <w:rPr>
          <w:sz w:val="22"/>
        </w:rPr>
        <w:t>со дня письменного уведомления Заказчиком Исполнителя об обнаружении недостатков до дня их устранения Исполнителем.</w:t>
      </w:r>
    </w:p>
    <w:p w14:paraId="5C000000">
      <w:pPr>
        <w:ind/>
        <w:jc w:val="both"/>
        <w:rPr>
          <w:sz w:val="22"/>
        </w:rPr>
      </w:pPr>
    </w:p>
    <w:p w14:paraId="5D000000">
      <w:pPr>
        <w:widowControl w:val="0"/>
        <w:ind/>
        <w:jc w:val="center"/>
        <w:outlineLvl w:val="0"/>
        <w:rPr>
          <w:b w:val="1"/>
          <w:color w:val="000000"/>
          <w:sz w:val="22"/>
        </w:rPr>
      </w:pPr>
      <w:r>
        <w:rPr>
          <w:b w:val="1"/>
          <w:color w:val="000000"/>
          <w:sz w:val="22"/>
        </w:rPr>
        <w:t>7. ОТВЕТСТВЕННОСТЬ СТОРОН</w:t>
      </w:r>
    </w:p>
    <w:p w14:paraId="5E000000">
      <w:pPr>
        <w:numPr>
          <w:ilvl w:val="1"/>
          <w:numId w:val="1"/>
        </w:numPr>
        <w:ind w:firstLine="0" w:left="0"/>
        <w:jc w:val="both"/>
        <w:rPr>
          <w:color w:val="000000"/>
          <w:sz w:val="22"/>
        </w:rPr>
      </w:pPr>
      <w:r>
        <w:rPr>
          <w:color w:val="000000"/>
          <w:sz w:val="22"/>
        </w:rPr>
        <w:t xml:space="preserve"> За ненадлежащее исполнение своих обязательств по настоящему Контракту Стороны несут ответственность в соответствии с законодательством Российской Федерации, Федеральным законом от 05.04.2013 г. №44 – ФЗ «О контрактной системе размещении в сфере закупок товаров, работ, работ для обеспечения государственных и муниципальных нужд», Постановлением Правительства Российской Федерации от 30.08.2017 N 1042. Указанные в настоящем разделе неустойка (пеня, штраф) взимаются за каждое нарушение в отдельности.</w:t>
      </w:r>
    </w:p>
    <w:p w14:paraId="5F000000">
      <w:pPr>
        <w:numPr>
          <w:ilvl w:val="1"/>
          <w:numId w:val="1"/>
        </w:numPr>
        <w:ind w:firstLine="0" w:left="0"/>
        <w:jc w:val="both"/>
        <w:rPr>
          <w:i w:val="1"/>
          <w:color w:val="000000"/>
          <w:sz w:val="22"/>
        </w:rPr>
      </w:pPr>
      <w:r>
        <w:rPr>
          <w:i w:val="1"/>
          <w:color w:val="000000"/>
          <w:sz w:val="22"/>
        </w:rPr>
        <w:t>Ответственность Заказчика:</w:t>
      </w:r>
    </w:p>
    <w:p w14:paraId="60000000">
      <w:pPr>
        <w:numPr>
          <w:ilvl w:val="2"/>
          <w:numId w:val="1"/>
        </w:numPr>
        <w:ind w:firstLine="0" w:left="0"/>
        <w:jc w:val="both"/>
        <w:rPr>
          <w:color w:val="000000"/>
          <w:sz w:val="22"/>
        </w:rPr>
      </w:pPr>
      <w:r>
        <w:rPr>
          <w:color w:val="000000"/>
          <w:sz w:val="22"/>
        </w:rPr>
        <w:t>В случае просрочки исполнения Заказчиком обязательств, предусмотренных Контрактом, Исполнитель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ключевой ставки Центрального Банка Российской Федерации, действующей на дату уплаты пеней, от не уплаченной в срок суммы.</w:t>
      </w:r>
    </w:p>
    <w:p w14:paraId="61000000">
      <w:pPr>
        <w:pStyle w:val="Style_5"/>
        <w:numPr>
          <w:ilvl w:val="2"/>
          <w:numId w:val="2"/>
        </w:numPr>
        <w:tabs>
          <w:tab w:leader="none" w:pos="576" w:val="left"/>
        </w:tabs>
        <w:spacing w:after="0" w:line="240" w:lineRule="auto"/>
        <w:ind w:firstLine="0" w:left="0"/>
        <w:jc w:val="both"/>
        <w:rPr>
          <w:rFonts w:ascii="Times New Roman" w:hAnsi="Times New Roman"/>
          <w:color w:val="000000"/>
        </w:rPr>
      </w:pPr>
      <w:r>
        <w:rPr>
          <w:rFonts w:ascii="Times New Roman" w:hAnsi="Times New Roman"/>
          <w:color w:val="000000"/>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потребовать уплаты штрафа.</w:t>
      </w:r>
    </w:p>
    <w:p w14:paraId="62000000">
      <w:pPr>
        <w:ind/>
        <w:jc w:val="both"/>
        <w:rPr>
          <w:color w:val="000000"/>
          <w:sz w:val="22"/>
        </w:rPr>
      </w:pPr>
      <w:r>
        <w:rPr>
          <w:color w:val="000000"/>
          <w:sz w:val="22"/>
        </w:rPr>
        <w:t>Размер штрафа устанавливается в виде фиксированной суммы и составляет 1 000,00 (одна тысяча) рублей.</w:t>
      </w:r>
    </w:p>
    <w:p w14:paraId="63000000">
      <w:pPr>
        <w:ind/>
        <w:jc w:val="both"/>
        <w:rPr>
          <w:i w:val="1"/>
          <w:color w:val="000000"/>
          <w:sz w:val="22"/>
        </w:rPr>
      </w:pPr>
      <w:r>
        <w:rPr>
          <w:i w:val="1"/>
          <w:color w:val="000000"/>
          <w:sz w:val="22"/>
        </w:rPr>
        <w:t>7.3. Ответственность Исполнителя:</w:t>
      </w:r>
    </w:p>
    <w:p w14:paraId="64000000">
      <w:pPr>
        <w:numPr>
          <w:ilvl w:val="2"/>
          <w:numId w:val="3"/>
        </w:numPr>
        <w:ind w:firstLine="0" w:left="0"/>
        <w:jc w:val="both"/>
        <w:rPr>
          <w:color w:val="000000"/>
          <w:sz w:val="22"/>
        </w:rPr>
      </w:pPr>
      <w:r>
        <w:rPr>
          <w:color w:val="000000"/>
          <w:sz w:val="22"/>
        </w:rPr>
        <w:t>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 с указанием реквизитов для перечисления денежных средств.</w:t>
      </w:r>
    </w:p>
    <w:p w14:paraId="65000000">
      <w:pPr>
        <w:numPr>
          <w:ilvl w:val="2"/>
          <w:numId w:val="3"/>
        </w:numPr>
        <w:ind w:firstLine="0" w:left="0"/>
        <w:jc w:val="both"/>
        <w:rPr>
          <w:color w:val="000000"/>
          <w:sz w:val="22"/>
        </w:rPr>
      </w:pPr>
      <w:r>
        <w:rPr>
          <w:color w:val="000000"/>
          <w:sz w:val="22"/>
        </w:rPr>
        <w:t>Пеня за просрочку исполнения обязательств (в том числе гарантийного обязательства) начисляется за каждый день просрочки исполнения Исполнителем обязательства, предусмотренного контрактом, в том числе:</w:t>
      </w:r>
    </w:p>
    <w:p w14:paraId="66000000">
      <w:pPr>
        <w:tabs>
          <w:tab w:leader="none" w:pos="576" w:val="left"/>
        </w:tabs>
        <w:ind/>
        <w:jc w:val="both"/>
        <w:rPr>
          <w:color w:val="000000"/>
          <w:sz w:val="22"/>
        </w:rPr>
      </w:pPr>
      <w:r>
        <w:rPr>
          <w:color w:val="000000"/>
          <w:sz w:val="22"/>
        </w:rPr>
        <w:t>- За несвоевременное начало оказания услуг в срок, указанный в р.2. контракта по вине Исполнителя;</w:t>
      </w:r>
    </w:p>
    <w:p w14:paraId="67000000">
      <w:pPr>
        <w:tabs>
          <w:tab w:leader="none" w:pos="576" w:val="left"/>
        </w:tabs>
        <w:ind/>
        <w:jc w:val="both"/>
        <w:rPr>
          <w:color w:val="000000"/>
          <w:sz w:val="22"/>
        </w:rPr>
      </w:pPr>
      <w:r>
        <w:rPr>
          <w:color w:val="000000"/>
          <w:sz w:val="22"/>
        </w:rPr>
        <w:t>- За нарушение сроков оказания услуг;</w:t>
      </w:r>
    </w:p>
    <w:p w14:paraId="68000000">
      <w:pPr>
        <w:tabs>
          <w:tab w:leader="none" w:pos="576" w:val="left"/>
        </w:tabs>
        <w:ind/>
        <w:jc w:val="both"/>
        <w:rPr>
          <w:color w:val="000000"/>
          <w:sz w:val="22"/>
        </w:rPr>
      </w:pPr>
      <w:r>
        <w:rPr>
          <w:color w:val="000000"/>
          <w:sz w:val="22"/>
        </w:rPr>
        <w:t>- За задержку устранения недостатков (дефектов) в оказанных услугах, обнаруженных в процессе оказания услуг, либо при приемке услуг.</w:t>
      </w:r>
    </w:p>
    <w:p w14:paraId="69000000">
      <w:pPr>
        <w:tabs>
          <w:tab w:leader="none" w:pos="576" w:val="left"/>
        </w:tabs>
        <w:ind/>
        <w:jc w:val="both"/>
        <w:rPr>
          <w:color w:val="000000"/>
          <w:sz w:val="22"/>
        </w:rPr>
      </w:pPr>
      <w:r>
        <w:rPr>
          <w:color w:val="000000"/>
          <w:sz w:val="22"/>
        </w:rPr>
        <w:t>7.3.3. Пеня начисляется за каждый день просрочки исполнения Исполнителем обязательства, предусмотренного контрактом, и устанавливается в размере в размере 1/300 ключевой ставки  Центрального Банка Российской Федерации от цены контракта, действующей на дату уплаты  пени, уменьшенной на сумму, пропорциональную объему обязательств, предусмотренных контрактом и фактически исполненных Исполнителем, начиная со дня, следующего после дня истечения установленного контрактом срока исполнения обязательства, сроков устранения обнаруженных недостатков,  за исключением случаев, если законодательством Российской Федерации установлен иной порядок начисления пени.</w:t>
      </w:r>
    </w:p>
    <w:p w14:paraId="6A000000">
      <w:pPr>
        <w:ind/>
        <w:jc w:val="both"/>
        <w:rPr>
          <w:color w:val="000000"/>
          <w:sz w:val="22"/>
        </w:rPr>
      </w:pPr>
      <w:r>
        <w:rPr>
          <w:color w:val="000000"/>
          <w:sz w:val="22"/>
        </w:rPr>
        <w:t>7.3.4. За каждый факт неисполнения или ненадлежащего исполнения Исполнителем обязательств, предусмотренных договором, за исключением просрочки исполнения обязательств (в том числе гарантийных обязательств), предусмотренных договором. Размер штрафа устанавливается в размере 10 % от цены договора и составляет</w:t>
      </w:r>
      <w:r>
        <w:rPr>
          <w:rFonts w:ascii="Arial" w:hAnsi="Arial"/>
          <w:color w:val="333333"/>
          <w:sz w:val="20"/>
          <w:highlight w:val="white"/>
        </w:rPr>
        <w:t xml:space="preserve"> </w:t>
      </w:r>
      <w:r>
        <w:rPr>
          <w:color w:val="333333"/>
          <w:sz w:val="20"/>
          <w:highlight w:val="white"/>
        </w:rPr>
        <w:t>17197,50</w:t>
      </w:r>
      <w:r>
        <w:rPr>
          <w:rFonts w:ascii="Arial" w:hAnsi="Arial"/>
          <w:color w:val="333333"/>
          <w:sz w:val="20"/>
          <w:highlight w:val="white"/>
        </w:rPr>
        <w:t xml:space="preserve"> </w:t>
      </w:r>
      <w:r>
        <w:rPr>
          <w:color w:val="000000"/>
          <w:sz w:val="22"/>
        </w:rPr>
        <w:t xml:space="preserve">рублей, 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 </w:t>
      </w:r>
    </w:p>
    <w:p w14:paraId="6B000000">
      <w:pPr>
        <w:ind/>
        <w:jc w:val="both"/>
        <w:rPr>
          <w:color w:val="000000"/>
          <w:sz w:val="22"/>
        </w:rPr>
      </w:pPr>
      <w:r>
        <w:rPr>
          <w:color w:val="000000"/>
          <w:sz w:val="22"/>
        </w:rPr>
        <w:t xml:space="preserve">7.3.5.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в размере 1 000,00 (Одна тысяча) рублей 00 копеек. </w:t>
      </w:r>
    </w:p>
    <w:p w14:paraId="6C000000">
      <w:pPr>
        <w:tabs>
          <w:tab w:leader="none" w:pos="576" w:val="left"/>
        </w:tabs>
        <w:ind/>
        <w:jc w:val="both"/>
        <w:rPr>
          <w:color w:val="000000"/>
          <w:sz w:val="22"/>
        </w:rPr>
      </w:pPr>
      <w:r>
        <w:rPr>
          <w:color w:val="000000"/>
          <w:sz w:val="22"/>
        </w:rPr>
        <w:t>7.4.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6D000000">
      <w:pPr>
        <w:tabs>
          <w:tab w:leader="none" w:pos="576" w:val="left"/>
        </w:tabs>
        <w:ind/>
        <w:jc w:val="both"/>
        <w:rPr>
          <w:color w:val="000000"/>
          <w:sz w:val="22"/>
        </w:rPr>
      </w:pPr>
      <w:r>
        <w:rPr>
          <w:color w:val="000000"/>
          <w:sz w:val="22"/>
        </w:rPr>
        <w:t>7.5. Исполнитель несет ответственность за действия третьих лиц, привлеченных им к исполнению обязательств по контракту.</w:t>
      </w:r>
    </w:p>
    <w:p w14:paraId="6E000000">
      <w:pPr>
        <w:tabs>
          <w:tab w:leader="none" w:pos="576" w:val="left"/>
        </w:tabs>
        <w:ind/>
        <w:jc w:val="both"/>
        <w:rPr>
          <w:color w:val="000000"/>
          <w:sz w:val="22"/>
        </w:rPr>
      </w:pPr>
      <w:r>
        <w:rPr>
          <w:color w:val="000000"/>
          <w:sz w:val="22"/>
        </w:rPr>
        <w:t xml:space="preserve">7.6. Исполнитель несёт ответственность за последствия неисполнения или ненадлежащего исполнения обязательств Соисполнителей по контракту, а перед Соисполнителем ответственность за неисполнение или ненадлежащее исполнение заказчиком обязательств по контракту. </w:t>
      </w:r>
    </w:p>
    <w:p w14:paraId="6F000000">
      <w:pPr>
        <w:tabs>
          <w:tab w:leader="none" w:pos="576" w:val="left"/>
        </w:tabs>
        <w:ind/>
        <w:jc w:val="both"/>
        <w:rPr>
          <w:color w:val="000000"/>
          <w:sz w:val="22"/>
        </w:rPr>
      </w:pPr>
      <w:r>
        <w:rPr>
          <w:color w:val="000000"/>
          <w:sz w:val="22"/>
        </w:rPr>
        <w:t xml:space="preserve">7.7. В случае неисполнения, либо ненадлежащего исполнения Исполнителем обязательств по Контракту Заказчик производит оплату по Контракту в размере за вычетом суммы неустойки (штрафа, пеней), подлежащей уплате Исполнителем в соответствии с условиями ответственности по Контракту. </w:t>
      </w:r>
    </w:p>
    <w:p w14:paraId="70000000">
      <w:pPr>
        <w:tabs>
          <w:tab w:leader="none" w:pos="576" w:val="left"/>
        </w:tabs>
        <w:ind/>
        <w:jc w:val="both"/>
        <w:rPr>
          <w:color w:val="000000"/>
          <w:sz w:val="22"/>
        </w:rPr>
      </w:pPr>
      <w:r>
        <w:rPr>
          <w:color w:val="000000"/>
          <w:sz w:val="22"/>
        </w:rPr>
        <w:t>7.8. Общая сумма начисленной неу</w:t>
      </w:r>
      <w:r>
        <w:rPr>
          <w:color w:val="000000"/>
          <w:sz w:val="22"/>
        </w:rPr>
        <w:t xml:space="preserve">стойки (штрафов, пени) за неисполнение или ненадлежащее исполнение Исполнителем обязательств, предусмотренных контрактом, не может превышать цену контракта. </w:t>
      </w:r>
    </w:p>
    <w:p w14:paraId="71000000">
      <w:pPr>
        <w:tabs>
          <w:tab w:leader="none" w:pos="576" w:val="left"/>
        </w:tabs>
        <w:ind/>
        <w:jc w:val="both"/>
        <w:rPr>
          <w:color w:val="000000"/>
          <w:sz w:val="22"/>
        </w:rPr>
      </w:pPr>
      <w:r>
        <w:rPr>
          <w:color w:val="000000"/>
          <w:sz w:val="22"/>
        </w:rPr>
        <w:t>7.9.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14:paraId="72000000">
      <w:pPr>
        <w:tabs>
          <w:tab w:leader="none" w:pos="576" w:val="left"/>
        </w:tabs>
        <w:ind/>
        <w:jc w:val="both"/>
        <w:rPr>
          <w:color w:val="000000"/>
          <w:sz w:val="22"/>
        </w:rPr>
      </w:pPr>
      <w:r>
        <w:rPr>
          <w:color w:val="000000"/>
          <w:sz w:val="22"/>
        </w:rPr>
        <w:t xml:space="preserve">7.10. Исполнитель несет ответственность за вред, причиненный жизни, здоровью или имуществу третьих лиц при оказании услуг на Объекте. </w:t>
      </w:r>
    </w:p>
    <w:p w14:paraId="73000000">
      <w:pPr>
        <w:tabs>
          <w:tab w:leader="none" w:pos="576" w:val="left"/>
        </w:tabs>
        <w:ind/>
        <w:jc w:val="both"/>
        <w:rPr>
          <w:color w:val="000000"/>
          <w:sz w:val="22"/>
        </w:rPr>
      </w:pPr>
      <w:r>
        <w:rPr>
          <w:color w:val="000000"/>
          <w:sz w:val="22"/>
        </w:rPr>
        <w:t>7.11. Уплата пени (неустойки) за просрочку или иное ненадлежащее исполнение обязательств по Контракту, не освобождает Исполнителя от исполнения этих обязательств по Контракту.</w:t>
      </w:r>
    </w:p>
    <w:p w14:paraId="74000000">
      <w:pPr>
        <w:ind/>
        <w:jc w:val="both"/>
        <w:rPr>
          <w:color w:val="000000"/>
          <w:sz w:val="22"/>
        </w:rPr>
      </w:pPr>
      <w:r>
        <w:rPr>
          <w:color w:val="000000"/>
          <w:sz w:val="22"/>
        </w:rPr>
        <w:t>7.12. Уплата штрафных санкций за нарушение обязательств по Контракту производится Исполнителем на основании претензии Заказчика путем перечислением денежных средств на расчетный счет Заказчика.</w:t>
      </w:r>
    </w:p>
    <w:p w14:paraId="75000000">
      <w:pPr>
        <w:tabs>
          <w:tab w:leader="none" w:pos="576" w:val="left"/>
        </w:tabs>
        <w:ind/>
        <w:jc w:val="both"/>
        <w:rPr>
          <w:color w:val="000000"/>
          <w:sz w:val="22"/>
        </w:rPr>
      </w:pPr>
      <w:r>
        <w:rPr>
          <w:color w:val="000000"/>
          <w:sz w:val="22"/>
        </w:rPr>
        <w:t>7.13. В случае неисполнения или ненадлежащего исполнения Исполнителем обязательств, предусмотренных Договором, Заказчик, в соответствии со статьями 313 и 410 Гражданского кодекса РФ, вправе исполнить обязательство исполнителя по уплате неустойки, путем оплаты оказанных услуг по пени, устанавливаемой п. 2.1. контракта, уменьшенной на сумму размера такой неустойки.</w:t>
      </w:r>
    </w:p>
    <w:p w14:paraId="76000000">
      <w:pPr>
        <w:widowControl w:val="0"/>
        <w:ind/>
        <w:jc w:val="center"/>
        <w:outlineLvl w:val="0"/>
        <w:rPr>
          <w:b w:val="1"/>
          <w:sz w:val="22"/>
        </w:rPr>
      </w:pPr>
    </w:p>
    <w:p w14:paraId="77000000">
      <w:pPr>
        <w:widowControl w:val="0"/>
        <w:ind/>
        <w:jc w:val="center"/>
        <w:outlineLvl w:val="0"/>
        <w:rPr>
          <w:b w:val="1"/>
          <w:sz w:val="22"/>
        </w:rPr>
      </w:pPr>
      <w:r>
        <w:rPr>
          <w:b w:val="1"/>
          <w:sz w:val="22"/>
        </w:rPr>
        <w:t>8. ОБСТОЯТЕЛЬСТВА НЕПРЕОДОЛИМОЙ СИЛЫ</w:t>
      </w:r>
    </w:p>
    <w:p w14:paraId="78000000">
      <w:pPr>
        <w:widowControl w:val="0"/>
        <w:ind/>
        <w:jc w:val="both"/>
        <w:rPr>
          <w:sz w:val="22"/>
        </w:rPr>
      </w:pPr>
      <w:r>
        <w:rPr>
          <w:sz w:val="22"/>
        </w:rPr>
        <w:t xml:space="preserve">8.1. Стороны освобождаются от ответственности за полное или частичное неисполнение обязательств по настоящему </w:t>
      </w:r>
      <w:r>
        <w:rPr>
          <w:sz w:val="22"/>
        </w:rPr>
        <w:t>К</w:t>
      </w:r>
      <w:r>
        <w:rPr>
          <w:sz w:val="22"/>
        </w:rPr>
        <w:t>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полностью или частично обязательства по Контракту, не могла не предвидеть, не предотвратить разумными методами и в разумные сроки.</w:t>
      </w:r>
    </w:p>
    <w:p w14:paraId="79000000">
      <w:pPr>
        <w:tabs>
          <w:tab w:leader="none" w:pos="576" w:val="left"/>
        </w:tabs>
        <w:ind/>
        <w:jc w:val="both"/>
        <w:rPr>
          <w:sz w:val="22"/>
        </w:rPr>
      </w:pPr>
      <w:r>
        <w:rPr>
          <w:sz w:val="22"/>
        </w:rPr>
        <w:t xml:space="preserve">8.2. При наступлении указанных в пункте 8.1. обстоятельств, Сторона по настоящему </w:t>
      </w:r>
      <w:r>
        <w:rPr>
          <w:sz w:val="22"/>
        </w:rPr>
        <w:t>К</w:t>
      </w:r>
      <w:r>
        <w:rPr>
          <w:sz w:val="22"/>
        </w:rPr>
        <w:t>онтракту, для которой создалась невозможность исполнения обязательств по Контракту, должна известить о них в письменном виде другую Сторону с приложениями соответствующих доказательств и документов в трехдневный срок со дня наступления этих обстоятельств</w:t>
      </w:r>
      <w:r>
        <w:rPr>
          <w:sz w:val="22"/>
        </w:rPr>
        <w:t>.</w:t>
      </w:r>
    </w:p>
    <w:p w14:paraId="7A000000">
      <w:pPr>
        <w:tabs>
          <w:tab w:leader="none" w:pos="576" w:val="left"/>
        </w:tabs>
        <w:ind/>
        <w:jc w:val="both"/>
        <w:rPr>
          <w:sz w:val="22"/>
        </w:rPr>
      </w:pPr>
    </w:p>
    <w:p w14:paraId="7B000000">
      <w:pPr>
        <w:pStyle w:val="Style_2"/>
        <w:ind w:firstLine="0" w:left="0"/>
        <w:jc w:val="center"/>
        <w:outlineLvl w:val="0"/>
        <w:rPr>
          <w:b w:val="1"/>
          <w:caps w:val="1"/>
          <w:sz w:val="22"/>
        </w:rPr>
      </w:pPr>
      <w:r>
        <w:rPr>
          <w:b w:val="1"/>
          <w:sz w:val="22"/>
        </w:rPr>
        <w:t xml:space="preserve">9. </w:t>
      </w:r>
      <w:r>
        <w:rPr>
          <w:b w:val="1"/>
          <w:caps w:val="1"/>
          <w:sz w:val="22"/>
        </w:rPr>
        <w:t>Срок ДЕЙСТВИЯ контракта и порядок его РАСТОРЖЕНИЯ</w:t>
      </w:r>
    </w:p>
    <w:p w14:paraId="7C000000">
      <w:pPr>
        <w:widowControl w:val="0"/>
        <w:ind/>
        <w:jc w:val="both"/>
        <w:rPr>
          <w:sz w:val="22"/>
        </w:rPr>
      </w:pPr>
      <w:r>
        <w:rPr>
          <w:sz w:val="22"/>
        </w:rPr>
        <w:t xml:space="preserve">9.1. Контракт вступает в силу с момента подписания сторонами и действует по </w:t>
      </w:r>
      <w:r>
        <w:rPr>
          <w:sz w:val="22"/>
        </w:rPr>
        <w:t>31</w:t>
      </w:r>
      <w:r>
        <w:rPr>
          <w:sz w:val="22"/>
        </w:rPr>
        <w:t>.12.20</w:t>
      </w:r>
      <w:r>
        <w:rPr>
          <w:sz w:val="22"/>
        </w:rPr>
        <w:t>2</w:t>
      </w:r>
      <w:r>
        <w:rPr>
          <w:sz w:val="22"/>
        </w:rPr>
        <w:t>5</w:t>
      </w:r>
      <w:r>
        <w:rPr>
          <w:sz w:val="22"/>
        </w:rPr>
        <w:t xml:space="preserve"> </w:t>
      </w:r>
      <w:r>
        <w:rPr>
          <w:sz w:val="22"/>
        </w:rPr>
        <w:t>года.</w:t>
      </w:r>
      <w:r>
        <w:rPr>
          <w:sz w:val="22"/>
        </w:rPr>
        <w:t xml:space="preserve"> </w:t>
      </w:r>
    </w:p>
    <w:p w14:paraId="7D000000">
      <w:pPr>
        <w:widowControl w:val="0"/>
        <w:ind/>
        <w:jc w:val="both"/>
        <w:rPr>
          <w:sz w:val="22"/>
        </w:rPr>
      </w:pPr>
      <w:r>
        <w:rPr>
          <w:sz w:val="22"/>
        </w:rPr>
        <w:t xml:space="preserve">9.2. Информация о настоящем </w:t>
      </w:r>
      <w:r>
        <w:rPr>
          <w:sz w:val="22"/>
        </w:rPr>
        <w:t>К</w:t>
      </w:r>
      <w:r>
        <w:rPr>
          <w:sz w:val="22"/>
        </w:rPr>
        <w:t xml:space="preserve">онтракте подлежит включению в реестр </w:t>
      </w:r>
      <w:r>
        <w:rPr>
          <w:sz w:val="22"/>
        </w:rPr>
        <w:t>К</w:t>
      </w:r>
      <w:r>
        <w:rPr>
          <w:sz w:val="22"/>
        </w:rPr>
        <w:t xml:space="preserve">онтрактов, заключённых Заказчиками. </w:t>
      </w:r>
    </w:p>
    <w:p w14:paraId="7E000000">
      <w:pPr>
        <w:widowControl w:val="0"/>
        <w:ind/>
        <w:jc w:val="both"/>
        <w:rPr>
          <w:sz w:val="22"/>
        </w:rPr>
      </w:pPr>
      <w:r>
        <w:rPr>
          <w:sz w:val="22"/>
        </w:rPr>
        <w:t>9.3. Контракт может быть расторгнут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 РФ.</w:t>
      </w:r>
    </w:p>
    <w:p w14:paraId="7F000000">
      <w:pPr>
        <w:widowControl w:val="0"/>
        <w:ind/>
        <w:jc w:val="both"/>
        <w:rPr>
          <w:sz w:val="22"/>
        </w:rPr>
      </w:pPr>
      <w:r>
        <w:rPr>
          <w:sz w:val="22"/>
        </w:rPr>
        <w:t xml:space="preserve">   9.4. Заказчик вправе в одностороннем по</w:t>
      </w:r>
      <w:r>
        <w:rPr>
          <w:sz w:val="22"/>
        </w:rPr>
        <w:t>рядке отказаться от исполнения</w:t>
      </w:r>
      <w:r>
        <w:rPr>
          <w:sz w:val="22"/>
        </w:rPr>
        <w:t xml:space="preserve"> </w:t>
      </w:r>
      <w:r>
        <w:rPr>
          <w:sz w:val="22"/>
        </w:rPr>
        <w:t>К</w:t>
      </w:r>
      <w:r>
        <w:rPr>
          <w:sz w:val="22"/>
        </w:rPr>
        <w:t xml:space="preserve">онтракта по основаниям предусмотренных </w:t>
      </w:r>
      <w:r>
        <w:rPr>
          <w:sz w:val="22"/>
        </w:rPr>
        <w:t>Гражданским Кодексом РФ для одностороннего отказа от исполнения отдельных видов обязательств, а также в случаях предусмотренных контрактом: если исполнитель после заключения контракта отказался от оказания услуг; если Исполнитель не приступает к оказанию услуг в течение 5-ти рабочих дней с момента поступления Заявки от Заказчика;</w:t>
      </w:r>
      <w:r>
        <w:rPr>
          <w:sz w:val="22"/>
        </w:rPr>
        <w:t xml:space="preserve"> </w:t>
      </w:r>
      <w:r>
        <w:rPr>
          <w:sz w:val="22"/>
        </w:rPr>
        <w:t>если Исполнителем оказаны услуги ненадлежащего качества в соответствии с заключением приемочной комиссии, либо эксперта или экспертной организации; если Исполнитель прекратил ок</w:t>
      </w:r>
      <w:r>
        <w:rPr>
          <w:sz w:val="22"/>
        </w:rPr>
        <w:t>азывать</w:t>
      </w:r>
      <w:r>
        <w:rPr>
          <w:sz w:val="22"/>
        </w:rPr>
        <w:t xml:space="preserve"> услуг</w:t>
      </w:r>
      <w:r>
        <w:rPr>
          <w:sz w:val="22"/>
        </w:rPr>
        <w:t>и в период и сроки оказания услуг</w:t>
      </w:r>
      <w:r>
        <w:rPr>
          <w:sz w:val="22"/>
        </w:rPr>
        <w:t xml:space="preserve"> по контракту.</w:t>
      </w:r>
    </w:p>
    <w:p w14:paraId="80000000">
      <w:pPr>
        <w:widowControl w:val="0"/>
        <w:ind/>
        <w:jc w:val="both"/>
        <w:rPr>
          <w:sz w:val="22"/>
        </w:rPr>
      </w:pPr>
      <w:r>
        <w:rPr>
          <w:sz w:val="22"/>
        </w:rPr>
        <w:t>9.5. Решение Заказчика об одностороннем отказе от исполнения контракта не позднее чем в течение 3 рабочих дней с даты принятия указанного решения,  направляется Исполнителю</w:t>
      </w:r>
      <w:r>
        <w:rPr>
          <w:sz w:val="22"/>
        </w:rPr>
        <w:t xml:space="preserve"> по почте заказным письмом с уведомлением о вручении по адресу Исполнителя,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исполнителю. Выполнение Заказчиком требований настоящей части считается надлежащим уведомлением Исполнителя об одностороннем отказе от исполнения контракта. Датой такого надлежащего уведомления признается дата получения Заказчиком подтверждения о вручении Исполнителю указанного уведомления либо дата получения Заказчиком информации об отсутствии Исполнителю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30 (тридцати) дней с даты направления решения Заказчика об одностороннем отказе от исполнения контракта.   </w:t>
      </w:r>
    </w:p>
    <w:p w14:paraId="81000000">
      <w:pPr>
        <w:ind/>
        <w:jc w:val="both"/>
        <w:rPr>
          <w:sz w:val="22"/>
        </w:rPr>
      </w:pPr>
      <w:r>
        <w:rPr>
          <w:sz w:val="22"/>
        </w:rPr>
        <w:t>9.6.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Исполнителя об одностороннем отказе от исполнения контракта.</w:t>
      </w:r>
    </w:p>
    <w:p w14:paraId="82000000">
      <w:pPr>
        <w:ind/>
        <w:jc w:val="both"/>
        <w:rPr>
          <w:sz w:val="22"/>
        </w:rPr>
      </w:pPr>
      <w:r>
        <w:rPr>
          <w:sz w:val="22"/>
        </w:rPr>
        <w:t>9.7.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w:t>
      </w:r>
    </w:p>
    <w:p w14:paraId="83000000">
      <w:pPr>
        <w:ind/>
        <w:jc w:val="both"/>
        <w:rPr>
          <w:sz w:val="22"/>
        </w:rPr>
      </w:pPr>
      <w:r>
        <w:rPr>
          <w:sz w:val="22"/>
        </w:rPr>
        <w:t>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84000000">
      <w:pPr>
        <w:widowControl w:val="0"/>
        <w:ind/>
        <w:jc w:val="both"/>
        <w:rPr>
          <w:sz w:val="22"/>
        </w:rPr>
      </w:pPr>
      <w:r>
        <w:rPr>
          <w:sz w:val="22"/>
        </w:rPr>
        <w:t>9.8. По соглашению Сторон Контракт считается расторгнутым с момента подписания соглашения о расторжении контракта Сторонами.</w:t>
      </w:r>
    </w:p>
    <w:p w14:paraId="85000000">
      <w:pPr>
        <w:widowControl w:val="0"/>
        <w:ind/>
        <w:jc w:val="both"/>
        <w:rPr>
          <w:sz w:val="22"/>
        </w:rPr>
      </w:pPr>
      <w:r>
        <w:rPr>
          <w:sz w:val="22"/>
        </w:rPr>
        <w:t>9.9.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86000000">
      <w:pPr>
        <w:widowControl w:val="0"/>
        <w:ind/>
        <w:jc w:val="both"/>
        <w:rPr>
          <w:sz w:val="22"/>
        </w:rPr>
      </w:pPr>
      <w:r>
        <w:rPr>
          <w:sz w:val="22"/>
        </w:rPr>
        <w:t>9.10. В случае расторжения договора, либо одностороннем отказе от исполнения Стороны по договору, Исполнитель обязан вернуть Заказчику перечисленные денежные средства за не оказанные услуги в течение 30 (тридцати) дней с момента расторжения договора.</w:t>
      </w:r>
    </w:p>
    <w:p w14:paraId="87000000">
      <w:pPr>
        <w:widowControl w:val="0"/>
        <w:ind/>
        <w:jc w:val="both"/>
        <w:rPr>
          <w:sz w:val="22"/>
        </w:rPr>
      </w:pPr>
      <w:r>
        <w:rPr>
          <w:sz w:val="22"/>
        </w:rPr>
        <w:t>9.10.В случае расторжения договора, либо односторон</w:t>
      </w:r>
      <w:r>
        <w:rPr>
          <w:sz w:val="22"/>
        </w:rPr>
        <w:t>н</w:t>
      </w:r>
      <w:r>
        <w:rPr>
          <w:sz w:val="22"/>
        </w:rPr>
        <w:t>ем отказе от исполнения Стороны по договору, Исполнитель обязан вернуть Заказчику перечисленные денежные средства за не оказанные услуги в течение 30 (тридцати) дней с момента расторжения договора.</w:t>
      </w:r>
    </w:p>
    <w:p w14:paraId="88000000">
      <w:pPr>
        <w:widowControl w:val="0"/>
        <w:ind/>
        <w:jc w:val="both"/>
        <w:rPr>
          <w:sz w:val="22"/>
        </w:rPr>
      </w:pPr>
    </w:p>
    <w:p w14:paraId="89000000">
      <w:pPr>
        <w:ind/>
        <w:jc w:val="center"/>
        <w:rPr>
          <w:b w:val="1"/>
          <w:sz w:val="22"/>
        </w:rPr>
      </w:pPr>
      <w:r>
        <w:rPr>
          <w:b w:val="1"/>
          <w:sz w:val="22"/>
        </w:rPr>
        <w:t>10. А</w:t>
      </w:r>
      <w:r>
        <w:rPr>
          <w:b w:val="1"/>
          <w:sz w:val="22"/>
        </w:rPr>
        <w:t>НТИКОРРУПЦИОННЫЕ УСЛОВИЯ</w:t>
      </w:r>
    </w:p>
    <w:p w14:paraId="8A000000">
      <w:pPr>
        <w:ind/>
        <w:jc w:val="both"/>
        <w:rPr>
          <w:sz w:val="22"/>
        </w:rPr>
      </w:pPr>
      <w:r>
        <w:rPr>
          <w:sz w:val="22"/>
        </w:rPr>
        <w:t>10.1.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8B000000">
      <w:pPr>
        <w:ind/>
        <w:jc w:val="both"/>
        <w:rPr>
          <w:sz w:val="22"/>
        </w:rPr>
      </w:pPr>
      <w:r>
        <w:rPr>
          <w:sz w:val="22"/>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w:t>
      </w:r>
      <w:r>
        <w:rPr>
          <w:sz w:val="22"/>
        </w:rPr>
        <w:t>иным образом,</w:t>
      </w:r>
      <w:r>
        <w:rPr>
          <w:sz w:val="22"/>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8C000000">
      <w:pPr>
        <w:ind/>
        <w:jc w:val="both"/>
        <w:rPr>
          <w:sz w:val="22"/>
        </w:rPr>
      </w:pPr>
      <w:r>
        <w:rPr>
          <w:sz w:val="22"/>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 </w:t>
      </w:r>
    </w:p>
    <w:p w14:paraId="8D000000">
      <w:pPr>
        <w:ind/>
        <w:jc w:val="both"/>
        <w:rPr>
          <w:sz w:val="22"/>
        </w:rPr>
      </w:pPr>
      <w:r>
        <w:rPr>
          <w:sz w:val="22"/>
        </w:rPr>
        <w:t xml:space="preserve">- не совершать иных действий, нарушающих антикоррупционное законодательство Российской Федерации. </w:t>
      </w:r>
    </w:p>
    <w:p w14:paraId="8E000000">
      <w:pPr>
        <w:widowControl w:val="0"/>
        <w:ind/>
        <w:jc w:val="center"/>
        <w:outlineLvl w:val="0"/>
        <w:rPr>
          <w:b w:val="1"/>
          <w:caps w:val="1"/>
          <w:sz w:val="22"/>
        </w:rPr>
      </w:pPr>
      <w:r>
        <w:rPr>
          <w:b w:val="1"/>
          <w:sz w:val="22"/>
        </w:rPr>
        <w:t>1</w:t>
      </w:r>
      <w:r>
        <w:rPr>
          <w:b w:val="1"/>
          <w:sz w:val="22"/>
        </w:rPr>
        <w:t>1</w:t>
      </w:r>
      <w:r>
        <w:rPr>
          <w:b w:val="1"/>
          <w:sz w:val="22"/>
        </w:rPr>
        <w:t>.</w:t>
      </w:r>
      <w:r>
        <w:rPr>
          <w:b w:val="1"/>
          <w:caps w:val="1"/>
          <w:sz w:val="22"/>
        </w:rPr>
        <w:t xml:space="preserve"> Прочие условия</w:t>
      </w:r>
    </w:p>
    <w:p w14:paraId="8F000000">
      <w:pPr>
        <w:widowControl w:val="0"/>
        <w:ind/>
        <w:jc w:val="both"/>
        <w:rPr>
          <w:sz w:val="22"/>
        </w:rPr>
      </w:pPr>
      <w:r>
        <w:rPr>
          <w:sz w:val="22"/>
        </w:rPr>
        <w:t>1</w:t>
      </w:r>
      <w:r>
        <w:rPr>
          <w:sz w:val="22"/>
        </w:rPr>
        <w:t>1</w:t>
      </w:r>
      <w:r>
        <w:rPr>
          <w:sz w:val="22"/>
        </w:rPr>
        <w:t>.1. Споры, возникающие при исполнении настоящего Контракта, урегулируются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90000000">
      <w:pPr>
        <w:widowControl w:val="0"/>
        <w:ind/>
        <w:jc w:val="both"/>
        <w:rPr>
          <w:sz w:val="22"/>
        </w:rPr>
      </w:pPr>
      <w:r>
        <w:rPr>
          <w:sz w:val="22"/>
        </w:rPr>
        <w:t>1</w:t>
      </w:r>
      <w:r>
        <w:rPr>
          <w:sz w:val="22"/>
        </w:rPr>
        <w:t>1</w:t>
      </w:r>
      <w:r>
        <w:rPr>
          <w:sz w:val="22"/>
        </w:rPr>
        <w:t>.2. Любые изменения и дополнения к настоящему Контракту действительны, если они совершены в письменной форме, подписаны обе</w:t>
      </w:r>
      <w:r>
        <w:rPr>
          <w:sz w:val="22"/>
        </w:rPr>
        <w:t>ими Сторонами и внесены</w:t>
      </w:r>
      <w:r>
        <w:rPr>
          <w:sz w:val="22"/>
        </w:rPr>
        <w:t xml:space="preserve"> </w:t>
      </w:r>
      <w:r>
        <w:rPr>
          <w:sz w:val="22"/>
        </w:rPr>
        <w:t>в Реестр</w:t>
      </w:r>
      <w:r>
        <w:rPr>
          <w:sz w:val="22"/>
        </w:rPr>
        <w:t xml:space="preserve"> Контрактов,</w:t>
      </w:r>
      <w:r>
        <w:rPr>
          <w:sz w:val="22"/>
        </w:rPr>
        <w:t xml:space="preserve"> заключённых Заказчиками</w:t>
      </w:r>
      <w:r>
        <w:rPr>
          <w:sz w:val="22"/>
        </w:rPr>
        <w:t>.</w:t>
      </w:r>
    </w:p>
    <w:p w14:paraId="91000000">
      <w:pPr>
        <w:widowControl w:val="0"/>
        <w:ind/>
        <w:jc w:val="both"/>
        <w:rPr>
          <w:sz w:val="22"/>
        </w:rPr>
      </w:pPr>
      <w:r>
        <w:rPr>
          <w:sz w:val="22"/>
        </w:rPr>
        <w:t>1</w:t>
      </w:r>
      <w:r>
        <w:rPr>
          <w:sz w:val="22"/>
        </w:rPr>
        <w:t>1</w:t>
      </w:r>
      <w:r>
        <w:rPr>
          <w:sz w:val="22"/>
        </w:rPr>
        <w:t>.3. Стороны обязаны в течение 3 рабочих дней сообщать друг другу об изменении своего места нахождения, почтового адреса, номеров телефонов, факсов и банковских реквизитов.</w:t>
      </w:r>
    </w:p>
    <w:p w14:paraId="92000000">
      <w:pPr>
        <w:widowControl w:val="0"/>
        <w:ind/>
        <w:jc w:val="both"/>
        <w:rPr>
          <w:sz w:val="22"/>
        </w:rPr>
      </w:pPr>
      <w:r>
        <w:rPr>
          <w:sz w:val="22"/>
        </w:rPr>
        <w:t>1</w:t>
      </w:r>
      <w:r>
        <w:rPr>
          <w:sz w:val="22"/>
        </w:rPr>
        <w:t>1</w:t>
      </w:r>
      <w:r>
        <w:rPr>
          <w:sz w:val="22"/>
        </w:rPr>
        <w:t>.4. Все, что не урегулировано настоящим Контрактом, регулируется действующим гражданским законодательством РФ.</w:t>
      </w:r>
    </w:p>
    <w:p w14:paraId="93000000">
      <w:pPr>
        <w:ind/>
        <w:jc w:val="both"/>
        <w:rPr>
          <w:color w:val="000000"/>
          <w:sz w:val="20"/>
        </w:rPr>
      </w:pPr>
      <w:r>
        <w:rPr>
          <w:sz w:val="22"/>
        </w:rPr>
        <w:t>1</w:t>
      </w:r>
      <w:r>
        <w:rPr>
          <w:sz w:val="22"/>
        </w:rPr>
        <w:t>1</w:t>
      </w:r>
      <w:r>
        <w:rPr>
          <w:sz w:val="22"/>
        </w:rPr>
        <w:t xml:space="preserve">.5. </w:t>
      </w:r>
      <w:r>
        <w:rPr>
          <w:sz w:val="22"/>
        </w:rPr>
        <w:t>Настоящий Договор составлен в форме электронного документа, подписанного электронными цифровыми подписями уполномоченных на подписание Договора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14:paraId="94000000">
      <w:pPr>
        <w:widowControl w:val="0"/>
        <w:ind/>
        <w:jc w:val="both"/>
        <w:rPr>
          <w:sz w:val="22"/>
        </w:rPr>
      </w:pPr>
      <w:r>
        <w:rPr>
          <w:sz w:val="22"/>
        </w:rPr>
        <w:t>11.6.</w:t>
      </w:r>
      <w:r>
        <w:rPr>
          <w:color w:val="0000CD"/>
          <w:sz w:val="22"/>
        </w:rPr>
        <w:t xml:space="preserve"> </w:t>
      </w:r>
      <w:r>
        <w:rPr>
          <w:sz w:val="22"/>
        </w:rPr>
        <w:t xml:space="preserve">Идентификационный код закупки </w:t>
      </w:r>
      <w:r>
        <w:rPr>
          <w:sz w:val="22"/>
        </w:rPr>
        <w:t>(ИКЗ)</w:t>
      </w:r>
      <w:r>
        <w:rPr>
          <w:sz w:val="22"/>
        </w:rPr>
        <w:t xml:space="preserve"> -</w:t>
      </w:r>
      <w:r>
        <w:rPr>
          <w:sz w:val="22"/>
        </w:rPr>
        <w:t>______________________</w:t>
      </w:r>
      <w:r>
        <w:rPr>
          <w:sz w:val="22"/>
        </w:rPr>
        <w:tab/>
      </w:r>
      <w:r>
        <w:rPr>
          <w:sz w:val="22"/>
        </w:rPr>
        <w:t>.</w:t>
      </w:r>
      <w:r>
        <w:rPr>
          <w:sz w:val="22"/>
        </w:rPr>
        <w:tab/>
      </w:r>
    </w:p>
    <w:p w14:paraId="95000000">
      <w:pPr>
        <w:widowControl w:val="0"/>
        <w:ind/>
        <w:jc w:val="both"/>
        <w:rPr>
          <w:sz w:val="22"/>
        </w:rPr>
      </w:pPr>
      <w:r>
        <w:rPr>
          <w:sz w:val="22"/>
        </w:rPr>
        <w:t>11.7. К настоящему Контракту прилагаются и являются его неотъемлемой частью:</w:t>
      </w:r>
    </w:p>
    <w:p w14:paraId="96000000">
      <w:pPr>
        <w:widowControl w:val="0"/>
        <w:ind/>
        <w:jc w:val="both"/>
        <w:rPr>
          <w:sz w:val="22"/>
        </w:rPr>
      </w:pPr>
      <w:r>
        <w:rPr>
          <w:sz w:val="22"/>
        </w:rPr>
        <w:t>- Приложение № 1 «Техническое задание»;</w:t>
      </w:r>
    </w:p>
    <w:p w14:paraId="97000000">
      <w:pPr>
        <w:widowControl w:val="0"/>
        <w:ind/>
        <w:jc w:val="both"/>
        <w:rPr>
          <w:sz w:val="22"/>
        </w:rPr>
      </w:pPr>
      <w:r>
        <w:rPr>
          <w:sz w:val="22"/>
        </w:rPr>
        <w:t>Приложение № 2 «Расчет цены оказываемых услуг»</w:t>
      </w:r>
    </w:p>
    <w:p w14:paraId="98000000">
      <w:pPr>
        <w:widowControl w:val="0"/>
        <w:ind/>
        <w:jc w:val="both"/>
        <w:rPr>
          <w:sz w:val="22"/>
        </w:rPr>
      </w:pPr>
    </w:p>
    <w:p w14:paraId="99000000">
      <w:pPr>
        <w:widowControl w:val="0"/>
        <w:ind/>
        <w:jc w:val="both"/>
        <w:rPr>
          <w:sz w:val="22"/>
        </w:rPr>
      </w:pPr>
      <w:r>
        <w:rPr>
          <w:b w:val="1"/>
          <w:caps w:val="1"/>
          <w:sz w:val="22"/>
        </w:rPr>
        <w:t xml:space="preserve">12. </w:t>
      </w:r>
      <w:r>
        <w:rPr>
          <w:b w:val="1"/>
          <w:caps w:val="1"/>
          <w:sz w:val="22"/>
        </w:rPr>
        <w:t>МЕСТО НАХОЖДЕНИЯ, АДРЕСа, БАНКОВСКИЕ РЕКВИЗИТЫ, ПОДПИСИ СТОРОН</w:t>
      </w:r>
    </w:p>
    <w:p w14:paraId="9A000000">
      <w:pPr>
        <w:widowControl w:val="0"/>
        <w:ind/>
        <w:jc w:val="both"/>
        <w:rPr>
          <w:sz w:val="22"/>
        </w:rPr>
      </w:pPr>
    </w:p>
    <w:tbl>
      <w:tblPr>
        <w:tblStyle w:val="Style_6"/>
        <w:tblLayout w:type="fixed"/>
        <w:tblCellMar>
          <w:left w:type="dxa" w:w="10"/>
          <w:right w:type="dxa" w:w="10"/>
        </w:tblCellMar>
      </w:tblPr>
      <w:tblGrid>
        <w:gridCol w:w="5103"/>
        <w:gridCol w:w="4820"/>
      </w:tblGrid>
      <w:tr>
        <w:tc>
          <w:tcPr>
            <w:tcW w:type="dxa" w:w="5103"/>
            <w:shd w:fill="FFFFFF" w:val="clear"/>
            <w:tcMar>
              <w:top w:type="dxa" w:w="0"/>
              <w:left w:type="dxa" w:w="108"/>
              <w:bottom w:type="dxa" w:w="0"/>
              <w:right w:type="dxa" w:w="108"/>
            </w:tcMar>
          </w:tcPr>
          <w:p w14:paraId="9B000000">
            <w:pPr>
              <w:pStyle w:val="Style_7"/>
              <w:keepLines w:val="1"/>
              <w:spacing w:after="240" w:before="0"/>
              <w:ind/>
              <w:jc w:val="center"/>
              <w:rPr>
                <w:rFonts w:ascii="Times New Roman" w:hAnsi="Times New Roman"/>
                <w:i w:val="0"/>
                <w:sz w:val="22"/>
              </w:rPr>
            </w:pPr>
            <w:r>
              <w:rPr>
                <w:rFonts w:ascii="Times New Roman" w:hAnsi="Times New Roman"/>
                <w:i w:val="0"/>
                <w:sz w:val="22"/>
              </w:rPr>
              <w:t>Заказчик</w:t>
            </w:r>
          </w:p>
          <w:p w14:paraId="9C000000">
            <w:pPr>
              <w:ind/>
              <w:jc w:val="both"/>
              <w:rPr>
                <w:sz w:val="22"/>
              </w:rPr>
            </w:pPr>
          </w:p>
          <w:p w14:paraId="9D000000">
            <w:pPr>
              <w:ind/>
              <w:jc w:val="both"/>
              <w:rPr>
                <w:sz w:val="22"/>
              </w:rPr>
            </w:pPr>
          </w:p>
          <w:p w14:paraId="9E000000">
            <w:pPr>
              <w:ind/>
              <w:jc w:val="both"/>
              <w:rPr>
                <w:sz w:val="22"/>
              </w:rPr>
            </w:pPr>
          </w:p>
          <w:p w14:paraId="9F000000">
            <w:pPr>
              <w:ind/>
              <w:jc w:val="both"/>
              <w:rPr>
                <w:sz w:val="22"/>
              </w:rPr>
            </w:pPr>
          </w:p>
          <w:p w14:paraId="A0000000">
            <w:pPr>
              <w:ind/>
              <w:jc w:val="both"/>
              <w:rPr>
                <w:sz w:val="22"/>
              </w:rPr>
            </w:pPr>
          </w:p>
          <w:p w14:paraId="A1000000">
            <w:pPr>
              <w:ind/>
              <w:jc w:val="both"/>
              <w:rPr>
                <w:sz w:val="22"/>
              </w:rPr>
            </w:pPr>
          </w:p>
          <w:p w14:paraId="A2000000">
            <w:pPr>
              <w:ind/>
              <w:jc w:val="both"/>
              <w:rPr>
                <w:sz w:val="22"/>
              </w:rPr>
            </w:pPr>
          </w:p>
          <w:p w14:paraId="A3000000">
            <w:pPr>
              <w:pStyle w:val="Style_8"/>
              <w:keepLines w:val="1"/>
              <w:spacing w:before="0"/>
              <w:ind/>
              <w:rPr>
                <w:rFonts w:ascii="Times New Roman" w:hAnsi="Times New Roman"/>
                <w:b w:val="0"/>
                <w:sz w:val="22"/>
              </w:rPr>
            </w:pPr>
          </w:p>
        </w:tc>
        <w:tc>
          <w:tcPr>
            <w:tcW w:type="dxa" w:w="4820"/>
            <w:shd w:fill="FFFFFF" w:val="clear"/>
            <w:tcMar>
              <w:top w:type="dxa" w:w="0"/>
              <w:left w:type="dxa" w:w="108"/>
              <w:bottom w:type="dxa" w:w="0"/>
              <w:right w:type="dxa" w:w="108"/>
            </w:tcMar>
          </w:tcPr>
          <w:p w14:paraId="A4000000">
            <w:pPr>
              <w:rPr>
                <w:b w:val="1"/>
                <w:sz w:val="22"/>
              </w:rPr>
            </w:pPr>
            <w:r>
              <w:rPr>
                <w:b w:val="1"/>
                <w:sz w:val="22"/>
              </w:rPr>
              <w:t>Исполнитель</w:t>
            </w:r>
          </w:p>
          <w:p w14:paraId="A5000000">
            <w:pPr>
              <w:rPr>
                <w:sz w:val="22"/>
              </w:rPr>
            </w:pPr>
          </w:p>
        </w:tc>
      </w:tr>
    </w:tbl>
    <w:p w14:paraId="A6000000">
      <w:pPr>
        <w:sectPr>
          <w:footerReference r:id="rId1" w:type="default"/>
          <w:pgSz w:h="16837" w:orient="portrait" w:w="11905"/>
          <w:pgMar w:bottom="709" w:footer="278" w:gutter="0" w:header="142" w:left="993" w:right="848" w:top="541"/>
        </w:sectPr>
      </w:pPr>
    </w:p>
    <w:p w14:paraId="A7000000">
      <w:pPr>
        <w:widowControl w:val="0"/>
        <w:ind w:firstLine="708" w:left="4956"/>
        <w:jc w:val="center"/>
        <w:rPr>
          <w:sz w:val="20"/>
        </w:rPr>
      </w:pPr>
      <w:r>
        <w:rPr>
          <w:sz w:val="20"/>
        </w:rPr>
        <w:t>Приложение №1 к Контракту №_______</w:t>
      </w:r>
    </w:p>
    <w:p w14:paraId="A8000000">
      <w:pPr>
        <w:widowControl w:val="0"/>
        <w:ind/>
        <w:rPr>
          <w:sz w:val="20"/>
        </w:rPr>
      </w:pPr>
      <w:r>
        <w:rPr>
          <w:sz w:val="20"/>
        </w:rPr>
        <w:t xml:space="preserve">                                                                                                                      от __.__.2025 г. </w:t>
      </w:r>
    </w:p>
    <w:p w14:paraId="A9000000">
      <w:pPr>
        <w:numPr>
          <w:ilvl w:val="0"/>
          <w:numId w:val="0"/>
        </w:numPr>
        <w:tabs>
          <w:tab w:leader="none" w:pos="0" w:val="left"/>
          <w:tab w:leader="none" w:pos="1080" w:val="left"/>
        </w:tabs>
        <w:ind w:firstLine="709" w:left="0"/>
        <w:jc w:val="both"/>
        <w:rPr>
          <w:sz w:val="20"/>
        </w:rPr>
      </w:pPr>
    </w:p>
    <w:p w14:paraId="AA000000">
      <w:pPr>
        <w:numPr>
          <w:ilvl w:val="0"/>
          <w:numId w:val="0"/>
        </w:numPr>
        <w:tabs>
          <w:tab w:leader="none" w:pos="0" w:val="left"/>
          <w:tab w:leader="none" w:pos="1080" w:val="left"/>
        </w:tabs>
        <w:ind/>
        <w:jc w:val="center"/>
        <w:outlineLvl w:val="0"/>
        <w:rPr>
          <w:b w:val="1"/>
          <w:sz w:val="20"/>
        </w:rPr>
      </w:pPr>
      <w:r>
        <w:rPr>
          <w:b w:val="1"/>
          <w:sz w:val="20"/>
        </w:rPr>
        <w:t>ТЕХНИЧЕСКОЕ ЗАДАНИЕ</w:t>
      </w:r>
    </w:p>
    <w:p w14:paraId="AB000000">
      <w:pPr>
        <w:keepNext w:val="1"/>
        <w:tabs>
          <w:tab w:leader="none" w:pos="142" w:val="left"/>
        </w:tabs>
        <w:ind/>
        <w:jc w:val="center"/>
        <w:outlineLvl w:val="1"/>
        <w:rPr>
          <w:i w:val="1"/>
          <w:sz w:val="20"/>
        </w:rPr>
      </w:pPr>
      <w:r>
        <w:rPr>
          <w:i w:val="1"/>
          <w:sz w:val="20"/>
        </w:rPr>
        <w:t xml:space="preserve">на оказание услуг по заправке </w:t>
      </w:r>
      <w:r>
        <w:rPr>
          <w:i w:val="1"/>
          <w:sz w:val="20"/>
        </w:rPr>
        <w:t xml:space="preserve">и восстановлению </w:t>
      </w:r>
      <w:r>
        <w:rPr>
          <w:i w:val="1"/>
          <w:sz w:val="20"/>
        </w:rPr>
        <w:t>картриджей</w:t>
      </w:r>
    </w:p>
    <w:p w14:paraId="AC000000">
      <w:pPr>
        <w:keepNext w:val="1"/>
        <w:ind/>
        <w:jc w:val="both"/>
        <w:outlineLvl w:val="2"/>
        <w:rPr>
          <w:b w:val="1"/>
          <w:sz w:val="20"/>
        </w:rPr>
      </w:pPr>
      <w:r>
        <w:rPr>
          <w:b w:val="1"/>
          <w:sz w:val="20"/>
        </w:rPr>
        <w:t>1. Требования к количественным характеристикам (объему) услуг</w:t>
      </w:r>
    </w:p>
    <w:p w14:paraId="AD000000">
      <w:pPr>
        <w:ind/>
        <w:jc w:val="both"/>
        <w:rPr>
          <w:sz w:val="20"/>
        </w:rPr>
      </w:pPr>
      <w:r>
        <w:rPr>
          <w:sz w:val="20"/>
        </w:rPr>
        <w:t>1.1. Перечень оказываемых услуг по заправке и восстановлению картриджей для ГБОУ школа № 472</w:t>
      </w:r>
    </w:p>
    <w:tbl>
      <w:tblPr>
        <w:tblStyle w:val="Style_6"/>
        <w:tblInd w:type="dxa" w:w="108"/>
        <w:tblBorders>
          <w:top w:color="000000" w:sz="4" w:val="single"/>
          <w:left w:color="000000" w:sz="4" w:val="single"/>
          <w:bottom w:color="000000" w:sz="4" w:val="single"/>
          <w:right w:color="000000" w:sz="4" w:val="single"/>
          <w:insideH w:color="000000" w:sz="4" w:val="single"/>
          <w:insideV w:color="000000" w:sz="4" w:val="single"/>
        </w:tblBorders>
        <w:tblLayout w:type="fixed"/>
      </w:tblPr>
      <w:tblGrid>
        <w:gridCol w:w="708"/>
        <w:gridCol w:w="3260"/>
        <w:gridCol w:w="992"/>
        <w:gridCol w:w="992"/>
      </w:tblGrid>
      <w:tr>
        <w:trPr>
          <w:trHeight w:hRule="atLeast" w:val="1260"/>
        </w:trPr>
        <w:tc>
          <w:tcPr>
            <w:tcW w:type="dxa" w:w="708"/>
            <w:tcBorders>
              <w:top w:color="000000" w:sz="4" w:val="single"/>
              <w:left w:color="000000" w:sz="4" w:val="single"/>
              <w:bottom w:color="000000" w:sz="4" w:val="single"/>
              <w:right w:color="000000" w:sz="4" w:val="single"/>
            </w:tcBorders>
            <w:vAlign w:val="center"/>
          </w:tcPr>
          <w:p w14:paraId="AE000000">
            <w:pPr>
              <w:ind/>
              <w:jc w:val="center"/>
              <w:rPr>
                <w:b w:val="1"/>
                <w:color w:val="000000"/>
                <w:sz w:val="20"/>
              </w:rPr>
            </w:pPr>
            <w:r>
              <w:rPr>
                <w:b w:val="1"/>
                <w:color w:val="000000"/>
                <w:sz w:val="20"/>
              </w:rPr>
              <w:t>№ п/п</w:t>
            </w:r>
          </w:p>
        </w:tc>
        <w:tc>
          <w:tcPr>
            <w:tcW w:type="dxa" w:w="3260"/>
            <w:tcBorders>
              <w:top w:color="000000" w:sz="4" w:val="single"/>
              <w:left w:color="000000" w:sz="4" w:val="single"/>
              <w:bottom w:color="000000" w:sz="4" w:val="single"/>
              <w:right w:color="000000" w:sz="4" w:val="single"/>
            </w:tcBorders>
            <w:vAlign w:val="center"/>
          </w:tcPr>
          <w:p w14:paraId="AF000000">
            <w:pPr>
              <w:ind/>
              <w:jc w:val="center"/>
              <w:rPr>
                <w:b w:val="1"/>
                <w:color w:val="000000"/>
                <w:sz w:val="20"/>
              </w:rPr>
            </w:pPr>
            <w:r>
              <w:rPr>
                <w:b w:val="1"/>
                <w:color w:val="000000"/>
                <w:sz w:val="20"/>
              </w:rPr>
              <w:t>Наименование услуги</w:t>
            </w:r>
          </w:p>
        </w:tc>
        <w:tc>
          <w:tcPr>
            <w:tcW w:type="dxa" w:w="992"/>
            <w:tcBorders>
              <w:top w:color="000000" w:sz="4" w:val="single"/>
              <w:left w:color="000000" w:sz="4" w:val="single"/>
              <w:bottom w:color="000000" w:sz="4" w:val="single"/>
              <w:right w:color="000000" w:sz="4" w:val="single"/>
            </w:tcBorders>
            <w:vAlign w:val="center"/>
          </w:tcPr>
          <w:p w14:paraId="B0000000">
            <w:pPr>
              <w:ind/>
              <w:jc w:val="center"/>
              <w:rPr>
                <w:b w:val="1"/>
                <w:sz w:val="20"/>
              </w:rPr>
            </w:pPr>
            <w:r>
              <w:rPr>
                <w:b w:val="1"/>
                <w:sz w:val="20"/>
              </w:rPr>
              <w:t>Ед. измерения</w:t>
            </w:r>
          </w:p>
        </w:tc>
        <w:tc>
          <w:tcPr>
            <w:tcW w:type="dxa" w:w="992"/>
            <w:tcBorders>
              <w:top w:color="000000" w:sz="4" w:val="single"/>
              <w:left w:color="000000" w:sz="4" w:val="single"/>
              <w:bottom w:color="000000" w:sz="4" w:val="single"/>
              <w:right w:color="000000" w:sz="4" w:val="single"/>
            </w:tcBorders>
            <w:vAlign w:val="center"/>
          </w:tcPr>
          <w:p w14:paraId="B1000000">
            <w:pPr>
              <w:ind/>
              <w:jc w:val="center"/>
              <w:rPr>
                <w:b w:val="1"/>
                <w:color w:val="000000"/>
                <w:sz w:val="20"/>
              </w:rPr>
            </w:pPr>
            <w:r>
              <w:rPr>
                <w:b w:val="1"/>
                <w:color w:val="000000"/>
                <w:sz w:val="20"/>
              </w:rPr>
              <w:t>Кол-во</w:t>
            </w:r>
          </w:p>
          <w:p w14:paraId="B2000000">
            <w:pPr>
              <w:ind/>
              <w:jc w:val="center"/>
              <w:rPr>
                <w:b w:val="1"/>
                <w:color w:val="000000"/>
                <w:sz w:val="20"/>
              </w:rPr>
            </w:pPr>
            <w:r>
              <w:rPr>
                <w:b w:val="1"/>
                <w:color w:val="000000"/>
                <w:sz w:val="20"/>
              </w:rPr>
              <w:t>шт.</w:t>
            </w:r>
          </w:p>
        </w:tc>
      </w:tr>
      <w:tr>
        <w:trPr>
          <w:trHeight w:hRule="atLeast" w:val="225"/>
        </w:trPr>
        <w:tc>
          <w:tcPr>
            <w:tcW w:type="dxa" w:w="708"/>
            <w:tcBorders>
              <w:top w:color="000000" w:sz="4" w:val="single"/>
              <w:left w:color="000000" w:sz="4" w:val="single"/>
              <w:bottom w:color="000000" w:sz="4" w:val="single"/>
              <w:right w:color="000000" w:sz="4" w:val="single"/>
            </w:tcBorders>
            <w:vAlign w:val="center"/>
          </w:tcPr>
          <w:p w14:paraId="B3000000">
            <w:pPr>
              <w:rPr>
                <w:color w:val="000000"/>
                <w:sz w:val="20"/>
              </w:rPr>
            </w:pPr>
            <w:r>
              <w:rPr>
                <w:color w:val="000000"/>
                <w:sz w:val="20"/>
              </w:rPr>
              <w:t>1</w:t>
            </w:r>
          </w:p>
        </w:tc>
        <w:tc>
          <w:tcPr>
            <w:tcW w:type="dxa" w:w="3260"/>
            <w:tcBorders>
              <w:top w:color="000000" w:sz="4" w:val="single"/>
              <w:left w:color="000000" w:sz="4" w:val="single"/>
              <w:bottom w:color="000000" w:sz="4" w:val="single"/>
              <w:right w:color="000000" w:sz="4" w:val="single"/>
            </w:tcBorders>
          </w:tcPr>
          <w:p w14:paraId="B4000000">
            <w:pPr>
              <w:rPr>
                <w:sz w:val="20"/>
              </w:rPr>
            </w:pPr>
            <w:r>
              <w:rPr>
                <w:sz w:val="20"/>
              </w:rPr>
              <w:t xml:space="preserve">Заправка и восстановление картриджа для  Kyocera М2635 </w:t>
            </w:r>
          </w:p>
        </w:tc>
        <w:tc>
          <w:tcPr>
            <w:tcW w:type="dxa" w:w="992"/>
            <w:tcBorders>
              <w:top w:color="000000" w:sz="4" w:val="single"/>
              <w:left w:color="000000" w:sz="4" w:val="single"/>
              <w:bottom w:color="000000" w:sz="4" w:val="single"/>
              <w:right w:color="000000" w:sz="4" w:val="single"/>
            </w:tcBorders>
          </w:tcPr>
          <w:p w14:paraId="B5000000">
            <w:pPr>
              <w:ind/>
              <w:jc w:val="center"/>
              <w:rPr>
                <w:sz w:val="20"/>
              </w:rPr>
            </w:pPr>
            <w:r>
              <w:rPr>
                <w:sz w:val="20"/>
              </w:rPr>
              <w:t>шт.</w:t>
            </w:r>
          </w:p>
        </w:tc>
        <w:tc>
          <w:tcPr>
            <w:tcW w:type="dxa" w:w="992"/>
            <w:tcBorders>
              <w:top w:color="000000" w:sz="4" w:val="single"/>
              <w:left w:color="000000" w:sz="4" w:val="single"/>
              <w:bottom w:color="000000" w:sz="4" w:val="single"/>
              <w:right w:color="000000" w:sz="4" w:val="single"/>
            </w:tcBorders>
            <w:vAlign w:val="center"/>
          </w:tcPr>
          <w:p w14:paraId="B6000000">
            <w:pPr>
              <w:ind/>
              <w:jc w:val="center"/>
              <w:rPr>
                <w:sz w:val="20"/>
              </w:rPr>
            </w:pPr>
            <w:r>
              <w:rPr>
                <w:sz w:val="20"/>
              </w:rPr>
              <w:t>8</w:t>
            </w:r>
          </w:p>
        </w:tc>
      </w:tr>
      <w:tr>
        <w:trPr>
          <w:trHeight w:hRule="atLeast" w:val="225"/>
        </w:trPr>
        <w:tc>
          <w:tcPr>
            <w:tcW w:type="dxa" w:w="708"/>
            <w:tcBorders>
              <w:top w:color="000000" w:sz="4" w:val="single"/>
              <w:left w:color="000000" w:sz="4" w:val="single"/>
              <w:bottom w:color="000000" w:sz="4" w:val="single"/>
              <w:right w:color="000000" w:sz="4" w:val="single"/>
            </w:tcBorders>
            <w:vAlign w:val="center"/>
          </w:tcPr>
          <w:p w14:paraId="B7000000">
            <w:pPr>
              <w:rPr>
                <w:color w:val="000000"/>
                <w:sz w:val="20"/>
              </w:rPr>
            </w:pPr>
            <w:r>
              <w:rPr>
                <w:color w:val="000000"/>
                <w:sz w:val="20"/>
              </w:rPr>
              <w:t>2</w:t>
            </w:r>
          </w:p>
        </w:tc>
        <w:tc>
          <w:tcPr>
            <w:tcW w:type="dxa" w:w="3260"/>
            <w:tcBorders>
              <w:top w:color="000000" w:sz="4" w:val="single"/>
              <w:left w:color="000000" w:sz="4" w:val="single"/>
              <w:bottom w:color="000000" w:sz="4" w:val="single"/>
              <w:right w:color="000000" w:sz="4" w:val="single"/>
            </w:tcBorders>
          </w:tcPr>
          <w:p w14:paraId="B8000000">
            <w:pPr>
              <w:rPr>
                <w:sz w:val="20"/>
              </w:rPr>
            </w:pPr>
            <w:r>
              <w:rPr>
                <w:sz w:val="20"/>
              </w:rPr>
              <w:t>Заправка и восстановление картриджа для  Kyocera М2040/2540 (TK-1170)</w:t>
            </w:r>
          </w:p>
        </w:tc>
        <w:tc>
          <w:tcPr>
            <w:tcW w:type="dxa" w:w="992"/>
            <w:tcBorders>
              <w:top w:color="000000" w:sz="4" w:val="single"/>
              <w:left w:color="000000" w:sz="4" w:val="single"/>
              <w:bottom w:color="000000" w:sz="4" w:val="single"/>
              <w:right w:color="000000" w:sz="4" w:val="single"/>
            </w:tcBorders>
            <w:vAlign w:val="center"/>
          </w:tcPr>
          <w:p w14:paraId="B9000000">
            <w:pPr>
              <w:ind/>
              <w:jc w:val="center"/>
              <w:rPr>
                <w:sz w:val="20"/>
              </w:rPr>
            </w:pPr>
            <w:r>
              <w:rPr>
                <w:sz w:val="20"/>
              </w:rPr>
              <w:t>шт.</w:t>
            </w:r>
          </w:p>
        </w:tc>
        <w:tc>
          <w:tcPr>
            <w:tcW w:type="dxa" w:w="992"/>
            <w:tcBorders>
              <w:top w:color="000000" w:sz="4" w:val="single"/>
              <w:left w:color="000000" w:sz="4" w:val="single"/>
              <w:bottom w:color="000000" w:sz="4" w:val="single"/>
              <w:right w:color="000000" w:sz="4" w:val="single"/>
            </w:tcBorders>
            <w:vAlign w:val="center"/>
          </w:tcPr>
          <w:p w14:paraId="BA000000">
            <w:pPr>
              <w:ind/>
              <w:jc w:val="center"/>
              <w:rPr>
                <w:sz w:val="20"/>
              </w:rPr>
            </w:pPr>
            <w:r>
              <w:rPr>
                <w:sz w:val="20"/>
              </w:rPr>
              <w:t>15</w:t>
            </w:r>
          </w:p>
        </w:tc>
      </w:tr>
    </w:tbl>
    <w:p w14:paraId="BB000000">
      <w:pPr>
        <w:ind/>
        <w:jc w:val="both"/>
        <w:rPr>
          <w:sz w:val="20"/>
        </w:rPr>
      </w:pPr>
    </w:p>
    <w:p w14:paraId="BC000000">
      <w:pPr>
        <w:ind/>
        <w:jc w:val="center"/>
        <w:rPr>
          <w:b w:val="1"/>
          <w:sz w:val="20"/>
        </w:rPr>
      </w:pPr>
      <w:r>
        <w:rPr>
          <w:b w:val="1"/>
          <w:sz w:val="20"/>
        </w:rPr>
        <w:t>2. Требования к техническим характеристикам работ</w:t>
      </w:r>
    </w:p>
    <w:p w14:paraId="BD000000">
      <w:pPr>
        <w:ind/>
        <w:jc w:val="both"/>
        <w:rPr>
          <w:sz w:val="20"/>
        </w:rPr>
      </w:pPr>
      <w:r>
        <w:rPr>
          <w:sz w:val="20"/>
        </w:rPr>
        <w:t>2</w:t>
      </w:r>
      <w:r>
        <w:rPr>
          <w:sz w:val="20"/>
        </w:rPr>
        <w:t>.1. Заправка должна производиться только качественным и 100% совместимым тонером с полным заполнением бункера.</w:t>
      </w:r>
    </w:p>
    <w:p w14:paraId="BE000000">
      <w:pPr>
        <w:ind/>
        <w:jc w:val="both"/>
        <w:rPr>
          <w:sz w:val="20"/>
        </w:rPr>
      </w:pPr>
      <w:r>
        <w:rPr>
          <w:sz w:val="20"/>
        </w:rPr>
        <w:t>2.2. Картриджи, в которых после заправки необходимы чипы, чипы должны быть заменены на соответствующие.</w:t>
      </w:r>
    </w:p>
    <w:p w14:paraId="BF000000">
      <w:pPr>
        <w:ind/>
        <w:jc w:val="both"/>
        <w:rPr>
          <w:sz w:val="20"/>
        </w:rPr>
      </w:pPr>
      <w:r>
        <w:rPr>
          <w:sz w:val="20"/>
        </w:rPr>
        <w:t xml:space="preserve">2.3. Печатающие и многофункциональные устройства, в которых после заправки картриджей для выполнения функций печати необходима замена чип-карты, чип-карта заменяется на соответствующую. </w:t>
      </w:r>
    </w:p>
    <w:p w14:paraId="C0000000">
      <w:pPr>
        <w:ind/>
        <w:jc w:val="both"/>
        <w:outlineLvl w:val="0"/>
        <w:rPr>
          <w:color w:val="00000A"/>
          <w:sz w:val="20"/>
        </w:rPr>
      </w:pPr>
      <w:r>
        <w:rPr>
          <w:sz w:val="20"/>
        </w:rPr>
        <w:t>2.4. Печатающие</w:t>
      </w:r>
      <w:r>
        <w:rPr>
          <w:color w:val="00000A"/>
          <w:sz w:val="20"/>
        </w:rPr>
        <w:t xml:space="preserve"> и многофункциональные устройства, в которых после заправки картриджей для выполнения функции печати, необходимо перепрограммирование устройства, устройство перепрограммируется</w:t>
      </w:r>
    </w:p>
    <w:p w14:paraId="C1000000">
      <w:pPr>
        <w:ind/>
        <w:jc w:val="center"/>
        <w:rPr>
          <w:b w:val="1"/>
          <w:sz w:val="20"/>
        </w:rPr>
      </w:pPr>
      <w:r>
        <w:rPr>
          <w:b w:val="1"/>
          <w:sz w:val="20"/>
        </w:rPr>
        <w:t>3.Заправка и восстановление картриджей включает в себя:</w:t>
      </w:r>
    </w:p>
    <w:p w14:paraId="C2000000">
      <w:pPr>
        <w:numPr>
          <w:ilvl w:val="1"/>
          <w:numId w:val="4"/>
        </w:numPr>
        <w:spacing w:after="200" w:line="276" w:lineRule="auto"/>
        <w:ind/>
        <w:jc w:val="both"/>
        <w:rPr>
          <w:sz w:val="20"/>
        </w:rPr>
      </w:pPr>
      <w:r>
        <w:rPr>
          <w:sz w:val="20"/>
        </w:rPr>
        <w:t>Заправка тонером - очистка деталей, механизмов и бункеров картриджа, в том числе от остатков отработанного тонера, с последующим заполнением новым тонером в соответствии с техническими нормами.</w:t>
      </w:r>
    </w:p>
    <w:p w14:paraId="C3000000">
      <w:pPr>
        <w:numPr>
          <w:ilvl w:val="1"/>
          <w:numId w:val="4"/>
        </w:numPr>
        <w:spacing w:after="200" w:line="276" w:lineRule="auto"/>
        <w:ind/>
        <w:jc w:val="both"/>
        <w:rPr>
          <w:sz w:val="20"/>
        </w:rPr>
      </w:pPr>
      <w:r>
        <w:rPr>
          <w:sz w:val="20"/>
        </w:rPr>
        <w:t>Восстановление - очистка деталей, механизмов и бункеров картриджа, в том числе от остатков отработанного тонера, замена изношенных (неисправных) деталей, замена чипа и смарт-карт (при необходимости), с последующей заправкой новым тонером в соответствии с техническими нормами.</w:t>
      </w:r>
    </w:p>
    <w:p w14:paraId="C4000000">
      <w:pPr>
        <w:numPr>
          <w:ilvl w:val="1"/>
          <w:numId w:val="4"/>
        </w:numPr>
        <w:spacing w:after="200" w:line="276" w:lineRule="auto"/>
        <w:ind/>
        <w:jc w:val="both"/>
        <w:rPr>
          <w:sz w:val="20"/>
        </w:rPr>
      </w:pPr>
      <w:r>
        <w:rPr>
          <w:sz w:val="20"/>
        </w:rPr>
        <w:t>Исполнитель заправляет картриджи Заказчика с использованием своих запасных частей (тонер, чип и т.д.). Все обнаруженные неисправности, включая не оговоренные в сопроводительных документах, подлежат устранению.</w:t>
      </w:r>
    </w:p>
    <w:p w14:paraId="C5000000">
      <w:pPr>
        <w:numPr>
          <w:ilvl w:val="1"/>
          <w:numId w:val="4"/>
        </w:numPr>
        <w:spacing w:after="200" w:line="276" w:lineRule="auto"/>
        <w:ind/>
        <w:jc w:val="both"/>
        <w:rPr>
          <w:sz w:val="20"/>
        </w:rPr>
      </w:pPr>
      <w:r>
        <w:rPr>
          <w:sz w:val="20"/>
        </w:rPr>
        <w:t>Заправки картриджей должны производиться в срок не позднее 2</w:t>
      </w:r>
      <w:r>
        <w:rPr>
          <w:sz w:val="20"/>
        </w:rPr>
        <w:t xml:space="preserve"> рабочих дней</w:t>
      </w:r>
      <w:r>
        <w:rPr>
          <w:sz w:val="20"/>
        </w:rPr>
        <w:t xml:space="preserve"> после подачи заявки и состоять в дозированной заправке картриджей рекомендованным тонером в объёме, соответствующем ёмкости бункера. Стоимость оказываемых услуг должна включать в себя стоимость всех необходимых сопутствующих расходных материалов и запасных частей для заправки и восстановления картриджей.</w:t>
      </w:r>
    </w:p>
    <w:p w14:paraId="C6000000">
      <w:pPr>
        <w:numPr>
          <w:ilvl w:val="1"/>
          <w:numId w:val="4"/>
        </w:numPr>
        <w:spacing w:after="200" w:line="276" w:lineRule="auto"/>
        <w:ind/>
        <w:jc w:val="both"/>
        <w:rPr>
          <w:sz w:val="20"/>
        </w:rPr>
      </w:pPr>
      <w:r>
        <w:rPr>
          <w:sz w:val="20"/>
        </w:rPr>
        <w:t>Восстановление картриджа включает в себя замену фотобарабана, магнитного вала на новый, и заправку картриджа в соответствии с ёмкостью бункера соответствующей маркой тонера</w:t>
      </w:r>
    </w:p>
    <w:p w14:paraId="C7000000">
      <w:pPr>
        <w:numPr>
          <w:ilvl w:val="0"/>
          <w:numId w:val="4"/>
        </w:numPr>
        <w:tabs>
          <w:tab w:leader="none" w:pos="1134" w:val="left"/>
        </w:tabs>
        <w:spacing w:after="200" w:line="276" w:lineRule="auto"/>
        <w:ind w:hanging="235" w:left="235"/>
        <w:jc w:val="center"/>
        <w:outlineLvl w:val="1"/>
        <w:rPr>
          <w:b w:val="1"/>
          <w:color w:val="00000A"/>
          <w:sz w:val="20"/>
        </w:rPr>
      </w:pPr>
      <w:r>
        <w:rPr>
          <w:b w:val="1"/>
          <w:color w:val="00000A"/>
          <w:sz w:val="20"/>
        </w:rPr>
        <w:t>Требования к качеству и безопасности услуг</w:t>
      </w:r>
    </w:p>
    <w:p w14:paraId="C8000000">
      <w:pPr>
        <w:numPr>
          <w:ilvl w:val="1"/>
          <w:numId w:val="4"/>
        </w:numPr>
        <w:spacing w:after="200" w:line="276" w:lineRule="auto"/>
        <w:ind w:firstLine="0" w:left="0"/>
        <w:jc w:val="both"/>
        <w:rPr>
          <w:color w:val="000000"/>
          <w:sz w:val="20"/>
        </w:rPr>
      </w:pPr>
      <w:r>
        <w:rPr>
          <w:color w:val="000000"/>
          <w:sz w:val="20"/>
        </w:rPr>
        <w:t>Исполнитель обязан оказывать услуги с соблюдением действующих правил и норм техники безопасности, пожарной безопасности, а также иных утвержденных и зарегистрированных в установленном порядке актов уполномоченных органов государственной власти в сфере охраны труда.</w:t>
      </w:r>
    </w:p>
    <w:p w14:paraId="C9000000">
      <w:pPr>
        <w:numPr>
          <w:ilvl w:val="1"/>
          <w:numId w:val="4"/>
        </w:numPr>
        <w:spacing w:after="200" w:line="276" w:lineRule="auto"/>
        <w:ind w:firstLine="0" w:left="0"/>
        <w:rPr>
          <w:color w:val="000000"/>
          <w:sz w:val="20"/>
        </w:rPr>
      </w:pPr>
      <w:r>
        <w:rPr>
          <w:color w:val="000000"/>
          <w:sz w:val="20"/>
        </w:rPr>
        <w:t>Услуги должны оказываться с обязательным применением необходимых инструментов и устройств, специальных средств и оборудования для удаления пыли, отработанного тонера, чистки внешних поверхностей и внутренних объемов Оборудования (салфетки, специальные жидкости для протирки стекла, резины и пластмассы, специальные пылесосы, наборы инструментов и т.д.). Стоимость используемых при этом инструментов и устройств включается в цену государственного контракта и дополнительно не оплачивается</w:t>
      </w:r>
    </w:p>
    <w:p w14:paraId="CA000000">
      <w:pPr>
        <w:widowControl w:val="0"/>
        <w:ind/>
        <w:jc w:val="both"/>
        <w:rPr>
          <w:b w:val="1"/>
          <w:color w:val="000000"/>
          <w:sz w:val="20"/>
        </w:rPr>
      </w:pPr>
      <w:r>
        <w:rPr>
          <w:sz w:val="20"/>
        </w:rPr>
        <w:t>4.3</w:t>
      </w:r>
      <w:r>
        <w:rPr>
          <w:color w:val="000000"/>
          <w:sz w:val="20"/>
        </w:rPr>
        <w:t xml:space="preserve">.Расходные материалы должны обеспечивать предусмотренную производителем функциональность оборудования и требования, предусмотренные в гарантии на оборудование. </w:t>
      </w:r>
    </w:p>
    <w:p w14:paraId="CB000000">
      <w:pPr>
        <w:ind/>
        <w:jc w:val="both"/>
        <w:rPr>
          <w:color w:val="000000"/>
          <w:sz w:val="20"/>
        </w:rPr>
      </w:pPr>
      <w:r>
        <w:rPr>
          <w:color w:val="000000"/>
          <w:sz w:val="20"/>
        </w:rPr>
        <w:t>4.4. Заправка и восстановление картриджей должна соответствовать технической документации печатных устройств и не нарушать гарантийных условий, предоставляемой производителем печатной техники.</w:t>
      </w:r>
    </w:p>
    <w:p w14:paraId="CC000000">
      <w:pPr>
        <w:tabs>
          <w:tab w:leader="none" w:pos="1134" w:val="left"/>
        </w:tabs>
        <w:ind/>
        <w:jc w:val="both"/>
        <w:outlineLvl w:val="1"/>
        <w:rPr>
          <w:color w:val="00000A"/>
          <w:sz w:val="20"/>
        </w:rPr>
      </w:pPr>
      <w:r>
        <w:rPr>
          <w:color w:val="000000"/>
          <w:sz w:val="20"/>
        </w:rPr>
        <w:t xml:space="preserve">4.5. </w:t>
      </w:r>
      <w:r>
        <w:rPr>
          <w:color w:val="00000A"/>
          <w:sz w:val="20"/>
        </w:rPr>
        <w:t xml:space="preserve">Заправки и восстановления картриджей для лазерных принтеров должны производиться частями по заявке Получателя, в срок не позднее </w:t>
      </w:r>
      <w:r>
        <w:rPr>
          <w:color w:val="00000A"/>
          <w:sz w:val="20"/>
        </w:rPr>
        <w:t>2 рабочих дней</w:t>
      </w:r>
      <w:r>
        <w:rPr>
          <w:color w:val="00000A"/>
          <w:sz w:val="20"/>
        </w:rPr>
        <w:t xml:space="preserve"> с момента подачи заявки, в рабочее время, и состоять в дозированной заправке картриджей к ПУ, рекомендованным тонером в объёме, соответствующем ёмкости бункера. Стоимость оказываемых услуг должна включать в себя стоимость всех необходимых сопутствующих расходных материалов и не превышать максимальной цены договора. Заправленный, но не удовлетворяющий нормальному качеству печати картридж, подлежит ремонту (восстановлению) без повторного учёта проведенной </w:t>
      </w:r>
      <w:r>
        <w:rPr>
          <w:sz w:val="20"/>
        </w:rPr>
        <w:t>заправки (не более 16 рабочих часов с момента поступления заявки от Заказчика и регистрации ее Исполнителем).</w:t>
      </w:r>
      <w:r>
        <w:rPr>
          <w:color w:val="00000A"/>
          <w:sz w:val="20"/>
        </w:rPr>
        <w:t xml:space="preserve"> Качество оказанных услуг определяется проверкой при печати</w:t>
      </w:r>
      <w:r>
        <w:rPr>
          <w:color w:val="00000A"/>
          <w:sz w:val="20"/>
        </w:rPr>
        <w:t>.</w:t>
      </w:r>
    </w:p>
    <w:p w14:paraId="CD000000">
      <w:pPr>
        <w:tabs>
          <w:tab w:leader="none" w:pos="1134" w:val="left"/>
        </w:tabs>
        <w:ind/>
        <w:jc w:val="both"/>
        <w:outlineLvl w:val="1"/>
        <w:rPr>
          <w:color w:val="00000A"/>
          <w:sz w:val="20"/>
        </w:rPr>
      </w:pPr>
      <w:r>
        <w:rPr>
          <w:color w:val="00000A"/>
          <w:sz w:val="20"/>
        </w:rPr>
        <w:t>4.6</w:t>
      </w:r>
      <w:r>
        <w:rPr>
          <w:color w:val="00000A"/>
          <w:sz w:val="20"/>
        </w:rPr>
        <w:t>.При оказании услуг Исполнитель должен соблюдать требования производителей Оборудования, все действующие нормативно-правовые акты, как в отношении оказываемых услуг, так и в отношении материалов, комплектующих и оборудования, используемого при оказании услуг (СНиП, ГОСТ, РД и т.д.)</w:t>
      </w:r>
    </w:p>
    <w:p w14:paraId="CE000000">
      <w:pPr>
        <w:ind/>
        <w:jc w:val="both"/>
        <w:rPr>
          <w:sz w:val="20"/>
        </w:rPr>
      </w:pPr>
      <w:r>
        <w:rPr>
          <w:sz w:val="20"/>
        </w:rPr>
        <w:t>4.7. Приём заявок от представителей Заказчика в рамках оказываемых Услуг осуществляется по единому телефонному номеру Исполнителя (далее – ЕТН).</w:t>
      </w:r>
    </w:p>
    <w:p w14:paraId="CF000000">
      <w:pPr>
        <w:ind/>
        <w:jc w:val="both"/>
        <w:rPr>
          <w:sz w:val="20"/>
        </w:rPr>
      </w:pPr>
      <w:r>
        <w:rPr>
          <w:sz w:val="20"/>
        </w:rPr>
        <w:t>4.8. Заявки, поступающие на ЕТН, в обязательном порядке регистрируются оператором службы технической поддержки Исполнителя в собственной информационной системе в режиме реального времени с указанием причины обращения.</w:t>
      </w:r>
    </w:p>
    <w:p w14:paraId="D0000000">
      <w:pPr>
        <w:keepNext w:val="1"/>
        <w:tabs>
          <w:tab w:leader="none" w:pos="142" w:val="left"/>
        </w:tabs>
        <w:spacing w:after="120" w:before="120"/>
        <w:ind/>
        <w:jc w:val="center"/>
        <w:outlineLvl w:val="1"/>
        <w:rPr>
          <w:b w:val="1"/>
          <w:sz w:val="20"/>
        </w:rPr>
      </w:pPr>
      <w:r>
        <w:rPr>
          <w:b w:val="1"/>
          <w:sz w:val="20"/>
        </w:rPr>
        <w:t>5. Требования к г</w:t>
      </w:r>
      <w:r>
        <w:rPr>
          <w:b w:val="1"/>
          <w:sz w:val="20"/>
        </w:rPr>
        <w:t>арантии  и  качеству  на  оказание услуг</w:t>
      </w:r>
      <w:r>
        <w:rPr>
          <w:b w:val="1"/>
          <w:sz w:val="20"/>
        </w:rPr>
        <w:t xml:space="preserve">  </w:t>
      </w:r>
      <w:r>
        <w:rPr>
          <w:b w:val="1"/>
          <w:sz w:val="20"/>
        </w:rPr>
        <w:t>по техническому обслуживанию оборудования</w:t>
      </w:r>
    </w:p>
    <w:p w14:paraId="D1000000">
      <w:pPr>
        <w:ind/>
        <w:jc w:val="both"/>
        <w:rPr>
          <w:sz w:val="20"/>
        </w:rPr>
      </w:pPr>
      <w:r>
        <w:rPr>
          <w:sz w:val="20"/>
        </w:rPr>
        <w:t>5.1. Исполнитель обязуется оказать услуги надлежащего качества в соответствии с требованиями действующего законодательства к услугам данного вида.</w:t>
      </w:r>
    </w:p>
    <w:p w14:paraId="D2000000">
      <w:pPr>
        <w:ind/>
        <w:jc w:val="both"/>
        <w:rPr>
          <w:sz w:val="20"/>
        </w:rPr>
      </w:pPr>
      <w:r>
        <w:rPr>
          <w:sz w:val="20"/>
        </w:rPr>
        <w:t>5.2. Исполнитель гарантирует доброкачественность и надежность материалов и оборудования, используемых при оказании услуг, а также оказание услуг на высоком профессиональном уровне.</w:t>
      </w:r>
    </w:p>
    <w:p w14:paraId="D3000000">
      <w:pPr>
        <w:ind/>
        <w:jc w:val="both"/>
        <w:outlineLvl w:val="0"/>
        <w:rPr>
          <w:sz w:val="20"/>
        </w:rPr>
      </w:pPr>
      <w:r>
        <w:rPr>
          <w:sz w:val="20"/>
        </w:rPr>
        <w:t>5.3. В случае нарушения требований к качеству услуг (обнаруженных неустранимых недостатков, либо недостатков, которые не могут быть устранены без несоразмерных расходов или затрат времени и других подобных недостатков) Заказчик вправе не оплачивать услуги, качество которых не соответствует требованиям действующего законодательства к услугам данного рода.</w:t>
      </w:r>
    </w:p>
    <w:p w14:paraId="D4000000">
      <w:pPr>
        <w:ind/>
        <w:jc w:val="both"/>
        <w:outlineLvl w:val="0"/>
        <w:rPr>
          <w:sz w:val="20"/>
        </w:rPr>
      </w:pPr>
      <w:r>
        <w:rPr>
          <w:sz w:val="20"/>
        </w:rPr>
        <w:t xml:space="preserve"> 5.4. Исполнитель несет ответственность за недостатки (дефекты), обнаруженные в пределах 6 месяцев гарантийного срока со дня подписания акта сдачи-приемки оказанных услуг, если не докажет, что они произошли вследствие нормального износа объекта или его частей, или неправильной его эксплуатации на работы, выполняемые в ходе технического обслуживания (сопровождаемые заменой запасных частей), предусмотренные Техническим заданием.</w:t>
      </w:r>
    </w:p>
    <w:p w14:paraId="D5000000">
      <w:pPr>
        <w:ind/>
        <w:jc w:val="both"/>
        <w:outlineLvl w:val="0"/>
        <w:rPr>
          <w:sz w:val="20"/>
        </w:rPr>
      </w:pPr>
      <w:r>
        <w:rPr>
          <w:sz w:val="20"/>
        </w:rPr>
        <w:t xml:space="preserve">       В случае если в течение гарантийного срока обнаружится, что услуги оказаны Исполнителем с отступлениями от условий настоящего Технического задания, ухудшившими результат и качество работы, или с иными недостатками, которые делают объект непригодным для нормальной эксплуатации, Заказчик вправе по своему выбору потребовать от Исполнителя:</w:t>
      </w:r>
    </w:p>
    <w:p w14:paraId="D6000000">
      <w:pPr>
        <w:ind/>
        <w:jc w:val="both"/>
        <w:outlineLvl w:val="0"/>
        <w:rPr>
          <w:sz w:val="20"/>
        </w:rPr>
      </w:pPr>
      <w:r>
        <w:rPr>
          <w:sz w:val="20"/>
        </w:rPr>
        <w:t xml:space="preserve">- безвозмездного устранения недостатков в разумный срок; </w:t>
      </w:r>
    </w:p>
    <w:p w14:paraId="D7000000">
      <w:pPr>
        <w:ind/>
        <w:jc w:val="both"/>
        <w:outlineLvl w:val="0"/>
        <w:rPr>
          <w:sz w:val="20"/>
        </w:rPr>
      </w:pPr>
      <w:r>
        <w:rPr>
          <w:sz w:val="20"/>
        </w:rPr>
        <w:t>- соразмерного уменьшения установленной за работу цены;</w:t>
      </w:r>
    </w:p>
    <w:p w14:paraId="D8000000">
      <w:pPr>
        <w:ind/>
        <w:jc w:val="both"/>
        <w:outlineLvl w:val="0"/>
        <w:rPr>
          <w:sz w:val="20"/>
        </w:rPr>
      </w:pPr>
      <w:r>
        <w:rPr>
          <w:sz w:val="20"/>
        </w:rPr>
        <w:t>- возмещения своих расходов на устранение недостатков, если Заказчик за свой счет устранил обнаруженные недостатки.</w:t>
      </w:r>
    </w:p>
    <w:p w14:paraId="D9000000">
      <w:pPr>
        <w:ind/>
        <w:jc w:val="both"/>
        <w:outlineLvl w:val="0"/>
        <w:rPr>
          <w:sz w:val="20"/>
        </w:rPr>
      </w:pPr>
      <w:r>
        <w:rPr>
          <w:sz w:val="20"/>
        </w:rPr>
        <w:t>5.5. При обнаружении недостатков результата работ в пределах гарантийного срока, Исполнитель должен безвозмездно устранить их своими силами и за свой счет в течение 5 (пяти) календарных дней с момента получения претензии Заказчика.</w:t>
      </w:r>
    </w:p>
    <w:p w14:paraId="DA000000">
      <w:pPr>
        <w:tabs>
          <w:tab w:leader="none" w:pos="1134" w:val="left"/>
        </w:tabs>
        <w:ind/>
        <w:jc w:val="both"/>
        <w:outlineLvl w:val="1"/>
        <w:rPr>
          <w:color w:val="00000A"/>
          <w:sz w:val="20"/>
        </w:rPr>
      </w:pPr>
      <w:r>
        <w:rPr>
          <w:sz w:val="20"/>
        </w:rPr>
        <w:t>5.6. Течение гарантийного срока прерывается на время со дня письменного уведомления Заказчиком Исполнителя об обнаружении недостатков до дня их устранения Исполнителем</w:t>
      </w:r>
      <w:r>
        <w:rPr>
          <w:color w:val="00000A"/>
          <w:sz w:val="20"/>
        </w:rPr>
        <w:t>.</w:t>
      </w:r>
    </w:p>
    <w:p w14:paraId="DB000000">
      <w:pPr>
        <w:tabs>
          <w:tab w:leader="none" w:pos="1134" w:val="left"/>
        </w:tabs>
        <w:ind/>
        <w:jc w:val="both"/>
        <w:outlineLvl w:val="1"/>
        <w:rPr>
          <w:color w:val="00000A"/>
          <w:sz w:val="22"/>
        </w:rPr>
      </w:pPr>
    </w:p>
    <w:tbl>
      <w:tblPr>
        <w:tblStyle w:val="Style_6"/>
        <w:tblLayout w:type="fixed"/>
      </w:tblPr>
      <w:tblGrid>
        <w:gridCol w:w="4890"/>
        <w:gridCol w:w="4890"/>
      </w:tblGrid>
      <w:tr>
        <w:tc>
          <w:tcPr>
            <w:tcW w:type="dxa" w:w="4890"/>
          </w:tcPr>
          <w:p w14:paraId="DC000000">
            <w:pPr>
              <w:tabs>
                <w:tab w:leader="none" w:pos="1134" w:val="left"/>
              </w:tabs>
              <w:ind/>
              <w:jc w:val="both"/>
              <w:outlineLvl w:val="1"/>
              <w:rPr>
                <w:color w:val="00000A"/>
                <w:sz w:val="22"/>
              </w:rPr>
            </w:pPr>
            <w:r>
              <w:rPr>
                <w:color w:val="00000A"/>
                <w:sz w:val="22"/>
              </w:rPr>
              <w:t>ЗАКАЗЧИК</w:t>
            </w:r>
          </w:p>
        </w:tc>
        <w:tc>
          <w:tcPr>
            <w:tcW w:type="dxa" w:w="4890"/>
          </w:tcPr>
          <w:p w14:paraId="DD000000">
            <w:pPr>
              <w:rPr>
                <w:sz w:val="22"/>
              </w:rPr>
            </w:pPr>
            <w:r>
              <w:rPr>
                <w:sz w:val="22"/>
              </w:rPr>
              <w:t>ИСПОЛНИТЕЛЬ</w:t>
            </w:r>
          </w:p>
          <w:p w14:paraId="DE000000">
            <w:pPr>
              <w:ind/>
              <w:jc w:val="both"/>
              <w:rPr>
                <w:sz w:val="22"/>
              </w:rPr>
            </w:pPr>
          </w:p>
          <w:p w14:paraId="DF000000">
            <w:pPr>
              <w:ind/>
              <w:jc w:val="both"/>
              <w:rPr>
                <w:sz w:val="22"/>
              </w:rPr>
            </w:pPr>
            <w:r>
              <w:rPr>
                <w:sz w:val="22"/>
              </w:rPr>
              <w:t>__________________________</w:t>
            </w:r>
          </w:p>
        </w:tc>
      </w:tr>
    </w:tbl>
    <w:p w14:paraId="E0000000">
      <w:pPr>
        <w:ind w:firstLine="567" w:left="0"/>
        <w:jc w:val="right"/>
        <w:rPr>
          <w:sz w:val="22"/>
        </w:rPr>
      </w:pPr>
    </w:p>
    <w:p w14:paraId="E1000000">
      <w:pPr>
        <w:ind w:firstLine="567" w:left="0"/>
        <w:jc w:val="right"/>
        <w:rPr>
          <w:sz w:val="22"/>
        </w:rPr>
      </w:pPr>
      <w:r>
        <w:rPr>
          <w:sz w:val="22"/>
        </w:rPr>
        <w:t>Приложение №2 к Контракту № ________</w:t>
      </w:r>
    </w:p>
    <w:p w14:paraId="E2000000">
      <w:pPr>
        <w:widowControl w:val="0"/>
        <w:ind/>
        <w:rPr>
          <w:sz w:val="22"/>
        </w:rPr>
      </w:pPr>
      <w:r>
        <w:rPr>
          <w:sz w:val="22"/>
        </w:rPr>
        <w:t xml:space="preserve">                                                                                                                            </w:t>
      </w:r>
      <w:r>
        <w:rPr>
          <w:sz w:val="22"/>
        </w:rPr>
        <w:t xml:space="preserve">                            </w:t>
      </w:r>
      <w:r>
        <w:rPr>
          <w:sz w:val="22"/>
        </w:rPr>
        <w:t xml:space="preserve">  от </w:t>
      </w:r>
      <w:r>
        <w:rPr>
          <w:sz w:val="22"/>
        </w:rPr>
        <w:t xml:space="preserve">  .  </w:t>
      </w:r>
      <w:r>
        <w:rPr>
          <w:sz w:val="22"/>
        </w:rPr>
        <w:t>.</w:t>
      </w:r>
      <w:r>
        <w:rPr>
          <w:sz w:val="22"/>
        </w:rPr>
        <w:t xml:space="preserve"> </w:t>
      </w:r>
      <w:r>
        <w:rPr>
          <w:sz w:val="22"/>
        </w:rPr>
        <w:t>202</w:t>
      </w:r>
      <w:r>
        <w:rPr>
          <w:sz w:val="22"/>
        </w:rPr>
        <w:t>5</w:t>
      </w:r>
      <w:r>
        <w:rPr>
          <w:sz w:val="22"/>
        </w:rPr>
        <w:t xml:space="preserve"> г.</w:t>
      </w:r>
    </w:p>
    <w:p w14:paraId="E3000000">
      <w:pPr>
        <w:widowControl w:val="0"/>
        <w:tabs>
          <w:tab w:leader="none" w:pos="708" w:val="left"/>
        </w:tabs>
        <w:ind/>
        <w:jc w:val="center"/>
        <w:rPr>
          <w:b w:val="1"/>
          <w:sz w:val="22"/>
        </w:rPr>
      </w:pPr>
    </w:p>
    <w:p w14:paraId="E4000000">
      <w:pPr>
        <w:widowControl w:val="0"/>
        <w:tabs>
          <w:tab w:leader="none" w:pos="708" w:val="left"/>
        </w:tabs>
        <w:ind/>
        <w:jc w:val="center"/>
        <w:rPr>
          <w:b w:val="1"/>
          <w:sz w:val="22"/>
        </w:rPr>
      </w:pPr>
      <w:r>
        <w:rPr>
          <w:b w:val="1"/>
          <w:sz w:val="22"/>
        </w:rPr>
        <w:t>Расчет цены оказываемых услуг</w:t>
      </w:r>
    </w:p>
    <w:tbl>
      <w:tblPr>
        <w:tblStyle w:val="Style_6"/>
        <w:tblInd w:type="dxa" w:w="108"/>
        <w:tblBorders>
          <w:top w:color="000000" w:sz="4" w:val="single"/>
          <w:left w:color="000000" w:sz="4" w:val="single"/>
          <w:bottom w:color="000000" w:sz="4" w:val="single"/>
          <w:right w:color="000000" w:sz="4" w:val="single"/>
          <w:insideH w:color="000000" w:sz="4" w:val="single"/>
          <w:insideV w:color="000000" w:sz="4" w:val="single"/>
        </w:tblBorders>
        <w:tblLayout w:type="fixed"/>
      </w:tblPr>
      <w:tblGrid>
        <w:gridCol w:w="708"/>
        <w:gridCol w:w="3260"/>
        <w:gridCol w:w="992"/>
        <w:gridCol w:w="994"/>
        <w:gridCol w:w="991"/>
        <w:gridCol w:w="1135"/>
        <w:gridCol w:w="2269"/>
      </w:tblGrid>
      <w:tr>
        <w:trPr>
          <w:trHeight w:hRule="atLeast" w:val="1260"/>
        </w:trPr>
        <w:tc>
          <w:tcPr>
            <w:tcW w:type="dxa" w:w="708"/>
            <w:tcBorders>
              <w:top w:color="000000" w:sz="4" w:val="single"/>
              <w:left w:color="000000" w:sz="4" w:val="single"/>
              <w:bottom w:color="000000" w:sz="4" w:val="single"/>
              <w:right w:color="000000" w:sz="4" w:val="single"/>
            </w:tcBorders>
            <w:vAlign w:val="center"/>
          </w:tcPr>
          <w:p w14:paraId="E5000000">
            <w:pPr>
              <w:ind/>
              <w:jc w:val="center"/>
              <w:rPr>
                <w:b w:val="1"/>
                <w:color w:val="000000"/>
                <w:sz w:val="20"/>
              </w:rPr>
            </w:pPr>
            <w:r>
              <w:rPr>
                <w:b w:val="1"/>
                <w:color w:val="000000"/>
                <w:sz w:val="20"/>
              </w:rPr>
              <w:t>№ п/п</w:t>
            </w:r>
          </w:p>
        </w:tc>
        <w:tc>
          <w:tcPr>
            <w:tcW w:type="dxa" w:w="3260"/>
            <w:tcBorders>
              <w:top w:color="000000" w:sz="4" w:val="single"/>
              <w:left w:color="000000" w:sz="4" w:val="single"/>
              <w:bottom w:color="000000" w:sz="4" w:val="single"/>
              <w:right w:color="000000" w:sz="4" w:val="single"/>
            </w:tcBorders>
            <w:vAlign w:val="center"/>
          </w:tcPr>
          <w:p w14:paraId="E6000000">
            <w:pPr>
              <w:ind/>
              <w:jc w:val="center"/>
              <w:rPr>
                <w:b w:val="1"/>
                <w:color w:val="000000"/>
                <w:sz w:val="20"/>
              </w:rPr>
            </w:pPr>
            <w:r>
              <w:rPr>
                <w:b w:val="1"/>
                <w:color w:val="000000"/>
                <w:sz w:val="20"/>
              </w:rPr>
              <w:t>Наименование услуги</w:t>
            </w:r>
          </w:p>
        </w:tc>
        <w:tc>
          <w:tcPr>
            <w:tcW w:type="dxa" w:w="992"/>
            <w:tcBorders>
              <w:top w:color="000000" w:sz="4" w:val="single"/>
              <w:left w:color="000000" w:sz="4" w:val="single"/>
              <w:bottom w:color="000000" w:sz="4" w:val="single"/>
              <w:right w:color="000000" w:sz="4" w:val="single"/>
            </w:tcBorders>
            <w:vAlign w:val="center"/>
          </w:tcPr>
          <w:p w14:paraId="E7000000">
            <w:pPr>
              <w:ind/>
              <w:jc w:val="center"/>
              <w:rPr>
                <w:b w:val="1"/>
                <w:sz w:val="20"/>
              </w:rPr>
            </w:pPr>
            <w:r>
              <w:rPr>
                <w:b w:val="1"/>
                <w:sz w:val="20"/>
              </w:rPr>
              <w:t>Ед. измерения</w:t>
            </w:r>
          </w:p>
        </w:tc>
        <w:tc>
          <w:tcPr>
            <w:tcW w:type="dxa" w:w="994"/>
            <w:tcBorders>
              <w:top w:color="000000" w:sz="4" w:val="single"/>
              <w:left w:color="000000" w:sz="4" w:val="single"/>
              <w:bottom w:color="000000" w:sz="4" w:val="single"/>
              <w:right w:color="000000" w:sz="4" w:val="single"/>
            </w:tcBorders>
            <w:vAlign w:val="center"/>
          </w:tcPr>
          <w:p w14:paraId="E8000000">
            <w:pPr>
              <w:ind/>
              <w:jc w:val="center"/>
              <w:rPr>
                <w:b w:val="1"/>
                <w:color w:val="000000"/>
                <w:sz w:val="20"/>
              </w:rPr>
            </w:pPr>
            <w:r>
              <w:rPr>
                <w:b w:val="1"/>
                <w:color w:val="000000"/>
                <w:sz w:val="20"/>
              </w:rPr>
              <w:t>Кол-во</w:t>
            </w:r>
          </w:p>
          <w:p w14:paraId="E9000000">
            <w:pPr>
              <w:ind/>
              <w:jc w:val="center"/>
              <w:rPr>
                <w:b w:val="1"/>
                <w:color w:val="000000"/>
                <w:sz w:val="20"/>
              </w:rPr>
            </w:pPr>
            <w:r>
              <w:rPr>
                <w:b w:val="1"/>
                <w:color w:val="000000"/>
                <w:sz w:val="20"/>
              </w:rPr>
              <w:t>шт.</w:t>
            </w:r>
          </w:p>
        </w:tc>
        <w:tc>
          <w:tcPr>
            <w:tcW w:type="dxa" w:w="991"/>
            <w:tcBorders>
              <w:top w:color="000000" w:sz="4" w:val="single"/>
              <w:left w:color="000000" w:sz="4" w:val="single"/>
              <w:bottom w:color="000000" w:sz="4" w:val="single"/>
              <w:right w:color="000000" w:sz="4" w:val="single"/>
            </w:tcBorders>
            <w:vAlign w:val="center"/>
          </w:tcPr>
          <w:p w14:paraId="EA000000">
            <w:pPr>
              <w:ind/>
              <w:jc w:val="center"/>
              <w:rPr>
                <w:b w:val="1"/>
                <w:color w:val="000000"/>
                <w:sz w:val="20"/>
              </w:rPr>
            </w:pPr>
            <w:r>
              <w:rPr>
                <w:b w:val="1"/>
                <w:color w:val="000000"/>
                <w:sz w:val="20"/>
              </w:rPr>
              <w:t>Цена за единицу, (руб.)</w:t>
            </w:r>
          </w:p>
        </w:tc>
        <w:tc>
          <w:tcPr>
            <w:tcW w:type="dxa" w:w="1135"/>
            <w:tcBorders>
              <w:top w:color="000000" w:sz="4" w:val="single"/>
              <w:left w:color="000000" w:sz="4" w:val="single"/>
              <w:bottom w:color="000000" w:sz="4" w:val="single"/>
              <w:right w:color="000000" w:sz="4" w:val="single"/>
            </w:tcBorders>
            <w:vAlign w:val="center"/>
          </w:tcPr>
          <w:p w14:paraId="EB000000">
            <w:pPr>
              <w:ind/>
              <w:jc w:val="center"/>
              <w:rPr>
                <w:b w:val="1"/>
                <w:color w:val="000000"/>
                <w:sz w:val="20"/>
              </w:rPr>
            </w:pPr>
            <w:r>
              <w:rPr>
                <w:b w:val="1"/>
                <w:color w:val="000000"/>
                <w:sz w:val="20"/>
              </w:rPr>
              <w:t>Гарантия</w:t>
            </w:r>
          </w:p>
        </w:tc>
        <w:tc>
          <w:tcPr>
            <w:tcW w:type="dxa" w:w="2269"/>
            <w:tcBorders>
              <w:top w:color="000000" w:sz="4" w:val="single"/>
              <w:left w:color="000000" w:sz="4" w:val="single"/>
              <w:bottom w:color="000000" w:sz="4" w:val="single"/>
              <w:right w:color="000000" w:sz="4" w:val="single"/>
            </w:tcBorders>
            <w:vAlign w:val="center"/>
          </w:tcPr>
          <w:p w14:paraId="EC000000">
            <w:pPr>
              <w:ind/>
              <w:jc w:val="center"/>
              <w:rPr>
                <w:b w:val="1"/>
                <w:color w:val="000000"/>
                <w:sz w:val="20"/>
              </w:rPr>
            </w:pPr>
            <w:r>
              <w:rPr>
                <w:b w:val="1"/>
                <w:color w:val="000000"/>
                <w:sz w:val="20"/>
              </w:rPr>
              <w:t>Стоимость (руб.)</w:t>
            </w:r>
          </w:p>
        </w:tc>
      </w:tr>
      <w:tr>
        <w:trPr>
          <w:trHeight w:hRule="atLeast" w:val="225"/>
        </w:trPr>
        <w:tc>
          <w:tcPr>
            <w:tcW w:type="dxa" w:w="708"/>
            <w:tcBorders>
              <w:top w:color="000000" w:sz="4" w:val="single"/>
              <w:left w:color="000000" w:sz="4" w:val="single"/>
              <w:bottom w:color="000000" w:sz="4" w:val="single"/>
              <w:right w:color="000000" w:sz="4" w:val="single"/>
            </w:tcBorders>
            <w:vAlign w:val="center"/>
          </w:tcPr>
          <w:p w14:paraId="ED000000">
            <w:pPr>
              <w:rPr>
                <w:color w:val="000000"/>
                <w:sz w:val="20"/>
              </w:rPr>
            </w:pPr>
            <w:r>
              <w:rPr>
                <w:color w:val="000000"/>
                <w:sz w:val="20"/>
              </w:rPr>
              <w:t>1</w:t>
            </w:r>
          </w:p>
        </w:tc>
        <w:tc>
          <w:tcPr>
            <w:tcW w:type="dxa" w:w="3260"/>
            <w:tcBorders>
              <w:top w:color="000000" w:sz="4" w:val="single"/>
              <w:left w:color="000000" w:sz="4" w:val="single"/>
              <w:bottom w:color="000000" w:sz="4" w:val="single"/>
              <w:right w:color="000000" w:sz="4" w:val="single"/>
            </w:tcBorders>
          </w:tcPr>
          <w:p w14:paraId="EE000000">
            <w:pPr>
              <w:rPr>
                <w:sz w:val="22"/>
              </w:rPr>
            </w:pPr>
            <w:r>
              <w:rPr>
                <w:sz w:val="22"/>
              </w:rPr>
              <w:t xml:space="preserve">Заправка и восстановление картриджа для  Kyocera М2635 </w:t>
            </w:r>
          </w:p>
        </w:tc>
        <w:tc>
          <w:tcPr>
            <w:tcW w:type="dxa" w:w="992"/>
            <w:tcBorders>
              <w:top w:color="000000" w:sz="4" w:val="single"/>
              <w:left w:color="000000" w:sz="4" w:val="single"/>
              <w:bottom w:color="000000" w:sz="4" w:val="single"/>
              <w:right w:color="000000" w:sz="4" w:val="single"/>
            </w:tcBorders>
          </w:tcPr>
          <w:p w14:paraId="EF000000">
            <w:pPr>
              <w:ind/>
              <w:jc w:val="center"/>
              <w:rPr>
                <w:sz w:val="20"/>
              </w:rPr>
            </w:pPr>
            <w:r>
              <w:rPr>
                <w:sz w:val="20"/>
              </w:rPr>
              <w:t xml:space="preserve"> </w:t>
            </w:r>
          </w:p>
          <w:p w14:paraId="F0000000">
            <w:pPr>
              <w:ind/>
              <w:jc w:val="center"/>
              <w:rPr>
                <w:sz w:val="20"/>
              </w:rPr>
            </w:pPr>
            <w:r>
              <w:rPr>
                <w:sz w:val="20"/>
              </w:rPr>
              <w:t>шт.</w:t>
            </w:r>
          </w:p>
          <w:p w14:paraId="F1000000">
            <w:pPr>
              <w:ind/>
              <w:jc w:val="center"/>
              <w:rPr>
                <w:sz w:val="20"/>
              </w:rPr>
            </w:pPr>
          </w:p>
        </w:tc>
        <w:tc>
          <w:tcPr>
            <w:tcW w:type="dxa" w:w="994"/>
            <w:tcBorders>
              <w:top w:color="000000" w:sz="4" w:val="single"/>
              <w:left w:color="000000" w:sz="4" w:val="single"/>
              <w:bottom w:color="000000" w:sz="4" w:val="single"/>
              <w:right w:color="000000" w:sz="4" w:val="single"/>
            </w:tcBorders>
            <w:vAlign w:val="center"/>
          </w:tcPr>
          <w:p w14:paraId="F2000000">
            <w:pPr>
              <w:ind/>
              <w:jc w:val="center"/>
              <w:rPr>
                <w:sz w:val="20"/>
              </w:rPr>
            </w:pPr>
            <w:r>
              <w:rPr>
                <w:sz w:val="20"/>
              </w:rPr>
              <w:t>8</w:t>
            </w:r>
          </w:p>
        </w:tc>
        <w:tc>
          <w:tcPr>
            <w:tcW w:type="dxa" w:w="991"/>
            <w:tcBorders>
              <w:top w:color="000000" w:sz="4" w:val="single"/>
              <w:left w:color="000000" w:sz="4" w:val="single"/>
              <w:bottom w:color="000000" w:sz="4" w:val="single"/>
              <w:right w:color="000000" w:sz="4" w:val="single"/>
            </w:tcBorders>
            <w:vAlign w:val="center"/>
          </w:tcPr>
          <w:p w14:paraId="F3000000">
            <w:pPr>
              <w:ind/>
              <w:jc w:val="center"/>
              <w:rPr>
                <w:color w:val="000000"/>
                <w:sz w:val="20"/>
              </w:rPr>
            </w:pPr>
          </w:p>
        </w:tc>
        <w:tc>
          <w:tcPr>
            <w:tcW w:type="dxa" w:w="1135"/>
            <w:tcBorders>
              <w:top w:color="000000" w:sz="4" w:val="single"/>
              <w:left w:color="000000" w:sz="4" w:val="single"/>
              <w:bottom w:color="000000" w:sz="4" w:val="single"/>
              <w:right w:color="000000" w:sz="4" w:val="single"/>
            </w:tcBorders>
          </w:tcPr>
          <w:p w14:paraId="F4000000">
            <w:pPr>
              <w:ind/>
              <w:jc w:val="center"/>
              <w:rPr>
                <w:color w:val="000000"/>
                <w:sz w:val="20"/>
              </w:rPr>
            </w:pPr>
            <w:r>
              <w:rPr>
                <w:color w:val="000000"/>
                <w:sz w:val="20"/>
              </w:rPr>
              <w:t>1 месяц</w:t>
            </w:r>
          </w:p>
        </w:tc>
        <w:tc>
          <w:tcPr>
            <w:tcW w:type="dxa" w:w="2269"/>
            <w:tcBorders>
              <w:top w:color="000000" w:sz="4" w:val="single"/>
              <w:left w:color="000000" w:sz="4" w:val="single"/>
              <w:bottom w:color="000000" w:sz="4" w:val="single"/>
              <w:right w:color="000000" w:sz="4" w:val="single"/>
            </w:tcBorders>
            <w:vAlign w:val="center"/>
          </w:tcPr>
          <w:p/>
        </w:tc>
      </w:tr>
      <w:tr>
        <w:trPr>
          <w:trHeight w:hRule="atLeast" w:val="490"/>
          <w:hidden w:val="0"/>
        </w:trPr>
        <w:tc>
          <w:tcPr>
            <w:tcW w:type="dxa" w:w="708"/>
            <w:tcBorders>
              <w:top w:color="000000" w:sz="4" w:val="single"/>
              <w:left w:color="000000" w:sz="4" w:val="single"/>
              <w:bottom w:color="000000" w:sz="4" w:val="single"/>
              <w:right w:color="000000" w:sz="4" w:val="single"/>
            </w:tcBorders>
            <w:vAlign w:val="center"/>
          </w:tcPr>
          <w:p w14:paraId="F5000000">
            <w:pPr>
              <w:rPr>
                <w:color w:val="000000"/>
                <w:sz w:val="20"/>
              </w:rPr>
            </w:pPr>
            <w:r>
              <w:rPr>
                <w:color w:val="000000"/>
                <w:sz w:val="20"/>
              </w:rPr>
              <w:t>2</w:t>
            </w:r>
          </w:p>
        </w:tc>
        <w:tc>
          <w:tcPr>
            <w:tcW w:type="dxa" w:w="3260"/>
            <w:tcBorders>
              <w:top w:color="000000" w:sz="4" w:val="single"/>
              <w:left w:color="000000" w:sz="4" w:val="single"/>
              <w:bottom w:color="000000" w:sz="4" w:val="single"/>
              <w:right w:color="000000" w:sz="4" w:val="single"/>
            </w:tcBorders>
          </w:tcPr>
          <w:p w14:paraId="F6000000">
            <w:pPr>
              <w:rPr>
                <w:sz w:val="22"/>
              </w:rPr>
            </w:pPr>
            <w:r>
              <w:rPr>
                <w:sz w:val="22"/>
              </w:rPr>
              <w:t xml:space="preserve">Заправка и восстановление картриджа для  тип </w:t>
            </w:r>
            <w:r>
              <w:rPr>
                <w:sz w:val="20"/>
              </w:rPr>
              <w:t>Kyocera М2040/2540 (TK-1170)</w:t>
            </w:r>
          </w:p>
        </w:tc>
        <w:tc>
          <w:tcPr>
            <w:tcW w:type="dxa" w:w="992"/>
            <w:tcBorders>
              <w:top w:color="000000" w:sz="4" w:val="single"/>
              <w:left w:color="000000" w:sz="4" w:val="single"/>
              <w:bottom w:color="000000" w:sz="4" w:val="single"/>
              <w:right w:color="000000" w:sz="4" w:val="single"/>
            </w:tcBorders>
            <w:vAlign w:val="center"/>
          </w:tcPr>
          <w:p w14:paraId="F7000000">
            <w:pPr>
              <w:ind/>
              <w:jc w:val="center"/>
              <w:rPr>
                <w:sz w:val="20"/>
              </w:rPr>
            </w:pPr>
            <w:r>
              <w:rPr>
                <w:sz w:val="20"/>
              </w:rPr>
              <w:t>шт.</w:t>
            </w:r>
          </w:p>
        </w:tc>
        <w:tc>
          <w:tcPr>
            <w:tcW w:type="dxa" w:w="994"/>
            <w:tcBorders>
              <w:top w:color="000000" w:sz="4" w:val="single"/>
              <w:left w:color="000000" w:sz="4" w:val="single"/>
              <w:bottom w:color="000000" w:sz="4" w:val="single"/>
              <w:right w:color="000000" w:sz="4" w:val="single"/>
            </w:tcBorders>
            <w:vAlign w:val="center"/>
          </w:tcPr>
          <w:p w14:paraId="F8000000">
            <w:pPr>
              <w:ind/>
              <w:jc w:val="center"/>
              <w:rPr>
                <w:sz w:val="20"/>
              </w:rPr>
            </w:pPr>
            <w:r>
              <w:rPr>
                <w:sz w:val="20"/>
              </w:rPr>
              <w:t>15</w:t>
            </w:r>
          </w:p>
        </w:tc>
        <w:tc>
          <w:tcPr>
            <w:tcW w:type="dxa" w:w="991"/>
            <w:tcBorders>
              <w:top w:color="000000" w:sz="4" w:val="single"/>
              <w:left w:color="000000" w:sz="4" w:val="single"/>
              <w:bottom w:color="000000" w:sz="4" w:val="single"/>
              <w:right w:color="000000" w:sz="4" w:val="single"/>
            </w:tcBorders>
            <w:vAlign w:val="center"/>
          </w:tcPr>
          <w:p w14:paraId="F9000000">
            <w:pPr>
              <w:ind/>
              <w:jc w:val="center"/>
              <w:rPr>
                <w:color w:val="000000"/>
                <w:sz w:val="20"/>
              </w:rPr>
            </w:pPr>
          </w:p>
        </w:tc>
        <w:tc>
          <w:tcPr>
            <w:tcW w:type="dxa" w:w="1135"/>
            <w:tcBorders>
              <w:top w:color="000000" w:sz="4" w:val="single"/>
              <w:left w:color="000000" w:sz="4" w:val="single"/>
              <w:bottom w:color="000000" w:sz="4" w:val="single"/>
              <w:right w:color="000000" w:sz="4" w:val="single"/>
            </w:tcBorders>
            <w:vAlign w:val="center"/>
          </w:tcPr>
          <w:p w14:paraId="FA000000">
            <w:pPr>
              <w:ind/>
              <w:jc w:val="center"/>
            </w:pPr>
            <w:r>
              <w:rPr>
                <w:color w:val="000000"/>
                <w:sz w:val="20"/>
              </w:rPr>
              <w:t>1 месяц</w:t>
            </w:r>
          </w:p>
        </w:tc>
        <w:tc>
          <w:tcPr>
            <w:tcW w:type="dxa" w:w="2269"/>
            <w:tcBorders>
              <w:top w:color="000000" w:sz="4" w:val="single"/>
              <w:left w:color="000000" w:sz="4" w:val="single"/>
              <w:bottom w:color="000000" w:sz="4" w:val="single"/>
              <w:right w:color="000000" w:sz="4" w:val="single"/>
            </w:tcBorders>
            <w:vAlign w:val="center"/>
          </w:tcPr>
          <w:p w14:paraId="FB000000">
            <w:pPr>
              <w:ind/>
              <w:jc w:val="center"/>
              <w:rPr>
                <w:color w:val="000000"/>
                <w:sz w:val="20"/>
              </w:rPr>
            </w:pPr>
          </w:p>
        </w:tc>
      </w:tr>
      <w:tr>
        <w:trPr>
          <w:trHeight w:hRule="atLeast" w:val="285"/>
        </w:trPr>
        <w:tc>
          <w:tcPr>
            <w:tcW w:type="dxa" w:w="6945"/>
            <w:gridSpan w:val="5"/>
            <w:tcBorders>
              <w:top w:color="000000" w:sz="4" w:val="single"/>
              <w:left w:color="000000" w:sz="4" w:val="single"/>
              <w:bottom w:color="000000" w:sz="4" w:val="single"/>
              <w:right w:color="000000" w:sz="4" w:val="single"/>
            </w:tcBorders>
            <w:vAlign w:val="center"/>
          </w:tcPr>
          <w:p w14:paraId="FC000000">
            <w:pPr>
              <w:ind/>
              <w:jc w:val="center"/>
              <w:rPr>
                <w:color w:val="000000"/>
                <w:sz w:val="20"/>
              </w:rPr>
            </w:pPr>
            <w:r>
              <w:rPr>
                <w:color w:val="000000"/>
                <w:sz w:val="20"/>
              </w:rPr>
              <w:t>Итого:</w:t>
            </w:r>
          </w:p>
        </w:tc>
        <w:tc>
          <w:tcPr>
            <w:tcW w:type="dxa" w:w="1135"/>
            <w:tcBorders>
              <w:top w:color="000000" w:sz="4" w:val="single"/>
              <w:left w:color="000000" w:sz="4" w:val="single"/>
              <w:bottom w:color="000000" w:sz="4" w:val="single"/>
              <w:right w:color="000000" w:sz="4" w:val="single"/>
            </w:tcBorders>
          </w:tcPr>
          <w:p w14:paraId="FD000000">
            <w:pPr>
              <w:ind/>
              <w:jc w:val="center"/>
              <w:rPr>
                <w:sz w:val="20"/>
              </w:rPr>
            </w:pPr>
          </w:p>
        </w:tc>
        <w:tc>
          <w:tcPr>
            <w:tcW w:type="dxa" w:w="2269"/>
            <w:tcBorders>
              <w:top w:color="000000" w:sz="4" w:val="single"/>
              <w:left w:color="000000" w:sz="4" w:val="single"/>
              <w:bottom w:color="000000" w:sz="4" w:val="single"/>
              <w:right w:color="000000" w:sz="4" w:val="single"/>
            </w:tcBorders>
            <w:vAlign w:val="center"/>
          </w:tcPr>
          <w:p/>
        </w:tc>
      </w:tr>
    </w:tbl>
    <w:p w14:paraId="FE000000">
      <w:pPr>
        <w:tabs>
          <w:tab w:leader="none" w:pos="708" w:val="left"/>
        </w:tabs>
        <w:spacing w:before="60" w:line="276" w:lineRule="auto"/>
        <w:ind/>
        <w:jc w:val="both"/>
        <w:rPr>
          <w:sz w:val="22"/>
        </w:rPr>
      </w:pPr>
      <w:r>
        <w:rPr>
          <w:b w:val="1"/>
          <w:sz w:val="22"/>
        </w:rPr>
        <w:t xml:space="preserve">Итого: </w:t>
      </w:r>
      <w:r>
        <w:rPr>
          <w:sz w:val="22"/>
          <w:highlight w:val="white"/>
        </w:rPr>
        <w:t>стоимость контракта</w:t>
      </w:r>
      <w:r>
        <w:rPr>
          <w:b w:val="1"/>
          <w:sz w:val="22"/>
        </w:rPr>
        <w:t xml:space="preserve"> </w:t>
      </w:r>
      <w:r>
        <w:rPr>
          <w:sz w:val="22"/>
        </w:rPr>
        <w:t>_____________</w:t>
      </w:r>
    </w:p>
    <w:tbl>
      <w:tblPr>
        <w:tblStyle w:val="Style_6"/>
        <w:tblLayout w:type="fixed"/>
      </w:tblPr>
      <w:tblGrid>
        <w:gridCol w:w="4890"/>
        <w:gridCol w:w="4890"/>
      </w:tblGrid>
      <w:tr>
        <w:tc>
          <w:tcPr>
            <w:tcW w:type="dxa" w:w="4890"/>
          </w:tcPr>
          <w:p w14:paraId="FF000000">
            <w:pPr>
              <w:tabs>
                <w:tab w:leader="none" w:pos="1134" w:val="left"/>
              </w:tabs>
              <w:ind/>
              <w:jc w:val="both"/>
              <w:outlineLvl w:val="1"/>
              <w:rPr>
                <w:color w:val="00000A"/>
                <w:sz w:val="22"/>
              </w:rPr>
            </w:pPr>
            <w:r>
              <w:rPr>
                <w:color w:val="00000A"/>
                <w:sz w:val="22"/>
              </w:rPr>
              <w:t>ЗАКАЗЧИК</w:t>
            </w:r>
          </w:p>
          <w:p w14:paraId="00010000">
            <w:pPr>
              <w:rPr>
                <w:sz w:val="22"/>
              </w:rPr>
            </w:pPr>
          </w:p>
          <w:p w14:paraId="01010000">
            <w:pPr>
              <w:rPr>
                <w:sz w:val="22"/>
              </w:rPr>
            </w:pPr>
          </w:p>
        </w:tc>
        <w:tc>
          <w:tcPr>
            <w:tcW w:type="dxa" w:w="4890"/>
          </w:tcPr>
          <w:p w14:paraId="02010000">
            <w:pPr>
              <w:rPr>
                <w:sz w:val="22"/>
              </w:rPr>
            </w:pPr>
            <w:r>
              <w:rPr>
                <w:sz w:val="22"/>
              </w:rPr>
              <w:t>ИСПОЛНИТЕЛЬ</w:t>
            </w:r>
          </w:p>
          <w:p w14:paraId="03010000">
            <w:pPr>
              <w:ind/>
              <w:jc w:val="both"/>
              <w:rPr>
                <w:sz w:val="22"/>
              </w:rPr>
            </w:pPr>
          </w:p>
        </w:tc>
      </w:tr>
    </w:tbl>
    <w:p w14:paraId="04010000">
      <w:pPr>
        <w:widowControl w:val="0"/>
        <w:tabs>
          <w:tab w:leader="none" w:pos="708" w:val="left"/>
        </w:tabs>
        <w:ind/>
        <w:rPr>
          <w:color w:val="00000A"/>
          <w:sz w:val="22"/>
        </w:rPr>
      </w:pPr>
    </w:p>
    <w:p w14:paraId="05010000">
      <w:pPr>
        <w:rPr>
          <w:sz w:val="22"/>
        </w:rPr>
      </w:pPr>
    </w:p>
    <w:p w14:paraId="06010000">
      <w:pPr>
        <w:spacing w:after="200" w:line="276" w:lineRule="auto"/>
        <w:ind/>
        <w:rPr>
          <w:rFonts w:ascii="Calibri" w:hAnsi="Calibri"/>
          <w:sz w:val="22"/>
        </w:rPr>
      </w:pPr>
    </w:p>
    <w:sectPr>
      <w:footerReference r:id="rId2" w:type="default"/>
      <w:pgSz w:h="16838" w:orient="portrait" w:w="11906"/>
      <w:pgMar w:bottom="709" w:footer="261" w:gutter="0" w:header="708" w:left="1560" w:right="566" w:top="709"/>
    </w:sectPr>
  </w:body>
</w:document>
</file>

<file path=word/fontTable.xml><?xml version="1.0" encoding="utf-8"?>
<w:fonts xmlns:w="http://schemas.openxmlformats.org/wordprocessingml/2006/main">
  <w:font w:name="Cambria">
    <w:panose1 w:val="02040503050406030204"/>
    <w:charset w:val="00"/>
    <w:family w:val="auto"/>
    <w:pitch w:val="variable"/>
    <w:sig w:csb0="0000019F" w:csb1="00000000" w:usb0="E00002FF" w:usb1="400004FF" w:usb2="00000000" w:usb3="00000000"/>
  </w:font>
  <w:font w:name="ＭＳ 明朝">
    <w:panose1 w:val="00000000000000000000"/>
    <w:charset w:val="80"/>
    <w:family w:val="roman"/>
    <w:notTrueType/>
    <w:pitch w:val="fixed"/>
    <w:sig w:csb0="00020000" w:csb1="00000000" w:usb0="00000001" w:usb1="08070000" w:usb2="00000010" w:usb3="00000000"/>
  </w:font>
  <w:font w:name="Times New Roman">
    <w:panose1 w:val="02020603050405020304"/>
    <w:charset w:val="00"/>
    <w:family w:val="auto"/>
    <w:pitch w:val="variable"/>
    <w:sig w:csb0="00000001" w:csb1="00000000" w:usb0="00000003" w:usb1="00000000" w:usb2="00000000" w:usb3="00000000"/>
  </w:font>
  <w:font w:name="Calibri">
    <w:panose1 w:val="020F0502020204030204"/>
    <w:charset w:val="00"/>
    <w:family w:val="auto"/>
    <w:pitch w:val="variable"/>
    <w:sig w:csb0="0000019F" w:csb1="00000000" w:usb0="E10002FF" w:usb1="4000ACFF" w:usb2="00000009" w:usb3="00000000"/>
  </w:font>
  <w:font w:name="ＭＳ ゴシック">
    <w:panose1 w:val="00000000000000000000"/>
    <w:charset w:val="80"/>
    <w:family w:val="modern"/>
    <w:notTrueType/>
    <w:pitch w:val="fixed"/>
    <w:sig w:csb0="00020000" w:csb1="00000000" w:usb0="00000001" w:usb1="08070000" w:usb2="00000010" w:usb3="00000000"/>
  </w:font>
  <w:font w:name="Consolas">
    <w:panose1 w:val="020B0609020204030204"/>
    <w:charset w:val="00"/>
    <w:family w:val="auto"/>
    <w:pitch w:val="variable"/>
    <w:sig w:csb0="0000019F" w:csb1="00000000" w:usb0="E10002FF" w:usb1="4000FCFF" w:usb2="00000009" w:usb3="00000000"/>
  </w:font>
  <w:font w:name="Arial">
    <w:panose1 w:val="020B0604020202020204"/>
    <w:charset w:val="00"/>
    <w:family w:val="auto"/>
    <w:pitch w:val="variable"/>
    <w:sig w:csb0="00000001" w:csb1="00000000" w:usb0="00000003" w:usb1="00000000" w:usb2="00000000" w:usb3="00000000"/>
  </w:font>
</w:fonts>
</file>

<file path=word/footer1.xml><?xml version="1.0" encoding="utf-8"?>
<w:ftr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4="http://schemas.microsoft.com/office/spreadsheetml/2009/9/main" xmlns:xdr="http://schemas.openxmlformats.org/drawingml/2006/spreadsheetDrawing" xmlns:xm="http://schemas.microsoft.com/office/excel/2006/main" mc:Ignorable="co co-ooxml w14 x14 w15">
  <w:p w14:paraId="01000000">
    <w:pPr>
      <w:pStyle w:val="Style_1"/>
      <w:ind/>
      <w:jc w:val="right"/>
    </w:pPr>
  </w:p>
  <w:p w14:paraId="02000000">
    <w:pPr>
      <w:pStyle w:val="Style_1"/>
    </w:pPr>
  </w:p>
</w:ftr>
</file>

<file path=word/footer2.xml><?xml version="1.0" encoding="utf-8"?>
<w:ftr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4="http://schemas.microsoft.com/office/spreadsheetml/2009/9/main" xmlns:xdr="http://schemas.openxmlformats.org/drawingml/2006/spreadsheetDrawing" xmlns:xm="http://schemas.microsoft.com/office/excel/2006/main" mc:Ignorable="co co-ooxml w14 x14 w15">
  <w:p w14:paraId="03000000">
    <w:pPr>
      <w:pStyle w:val="Style_1"/>
      <w:ind/>
      <w:jc w:val="right"/>
    </w:pPr>
  </w:p>
  <w:p w14:paraId="04000000">
    <w:pPr>
      <w:pStyle w:val="Style_1"/>
    </w:pPr>
  </w:p>
</w:ftr>
</file>

<file path=word/numbering.xml><?xml version="1.0" encoding="utf-8"?>
<w:numbering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4="http://schemas.microsoft.com/office/spreadsheetml/2009/9/main" xmlns:xdr="http://schemas.openxmlformats.org/drawingml/2006/spreadsheetDrawing" xmlns:xm="http://schemas.microsoft.com/office/excel/2006/main" mc:Ignorable="co co-ooxml w14 x14 w15">
  <w:abstractNum w:abstractNumId="0">
    <w:lvl w:ilvl="0">
      <w:start w:val="7"/>
      <w:numFmt w:val="decimal"/>
      <w:lvlText w:val="%1."/>
      <w:lvlJc w:val="left"/>
      <w:pPr>
        <w:ind w:hanging="360" w:left="360"/>
      </w:pPr>
    </w:lvl>
    <w:lvl w:ilvl="1">
      <w:start w:val="1"/>
      <w:numFmt w:val="decimal"/>
      <w:lvlText w:val="%1.%2."/>
      <w:lvlJc w:val="left"/>
      <w:pPr>
        <w:ind w:hanging="360" w:left="360"/>
      </w:pPr>
    </w:lvl>
    <w:lvl w:ilvl="2">
      <w:start w:val="1"/>
      <w:numFmt w:val="decimal"/>
      <w:lvlText w:val="%1.%2.%3."/>
      <w:lvlJc w:val="left"/>
      <w:pPr>
        <w:ind w:hanging="720" w:left="720"/>
      </w:pPr>
    </w:lvl>
    <w:lvl w:ilvl="3">
      <w:start w:val="1"/>
      <w:numFmt w:val="decimal"/>
      <w:lvlText w:val="%1.%2.%3.%4."/>
      <w:lvlJc w:val="left"/>
      <w:pPr>
        <w:ind w:hanging="720" w:left="720"/>
      </w:pPr>
    </w:lvl>
    <w:lvl w:ilvl="4">
      <w:start w:val="1"/>
      <w:numFmt w:val="decimal"/>
      <w:lvlText w:val="%1.%2.%3.%4.%5."/>
      <w:lvlJc w:val="left"/>
      <w:pPr>
        <w:ind w:hanging="1080" w:left="1080"/>
      </w:pPr>
    </w:lvl>
    <w:lvl w:ilvl="5">
      <w:start w:val="1"/>
      <w:numFmt w:val="decimal"/>
      <w:lvlText w:val="%1.%2.%3.%4.%5.%6."/>
      <w:lvlJc w:val="left"/>
      <w:pPr>
        <w:ind w:hanging="1080" w:left="1080"/>
      </w:pPr>
    </w:lvl>
    <w:lvl w:ilvl="6">
      <w:start w:val="1"/>
      <w:numFmt w:val="decimal"/>
      <w:lvlText w:val="%1.%2.%3.%4.%5.%6.%7."/>
      <w:lvlJc w:val="left"/>
      <w:pPr>
        <w:ind w:hanging="1440" w:left="1440"/>
      </w:pPr>
    </w:lvl>
    <w:lvl w:ilvl="7">
      <w:start w:val="1"/>
      <w:numFmt w:val="decimal"/>
      <w:lvlText w:val="%1.%2.%3.%4.%5.%6.%7.%8."/>
      <w:lvlJc w:val="left"/>
      <w:pPr>
        <w:ind w:hanging="1440" w:left="1440"/>
      </w:pPr>
    </w:lvl>
    <w:lvl w:ilvl="8">
      <w:start w:val="1"/>
      <w:numFmt w:val="decimal"/>
      <w:lvlText w:val="%1.%2.%3.%4.%5.%6.%7.%8.%9."/>
      <w:lvlJc w:val="left"/>
      <w:pPr>
        <w:ind w:hanging="1800" w:left="1800"/>
      </w:pPr>
    </w:lvl>
  </w:abstractNum>
  <w:abstractNum w:abstractNumId="1">
    <w:lvl w:ilvl="0">
      <w:start w:val="7"/>
      <w:numFmt w:val="decimal"/>
      <w:lvlText w:val="%1."/>
      <w:lvlJc w:val="left"/>
      <w:pPr>
        <w:ind w:hanging="540" w:left="540"/>
      </w:pPr>
    </w:lvl>
    <w:lvl w:ilvl="1">
      <w:start w:val="2"/>
      <w:numFmt w:val="decimal"/>
      <w:lvlText w:val="%1.%2."/>
      <w:lvlJc w:val="left"/>
      <w:pPr>
        <w:ind w:hanging="540" w:left="540"/>
      </w:pPr>
    </w:lvl>
    <w:lvl w:ilvl="2">
      <w:start w:val="3"/>
      <w:numFmt w:val="decimal"/>
      <w:lvlText w:val="%1.%2.%3."/>
      <w:lvlJc w:val="left"/>
      <w:pPr>
        <w:ind w:hanging="720" w:left="720"/>
      </w:pPr>
    </w:lvl>
    <w:lvl w:ilvl="3">
      <w:start w:val="1"/>
      <w:numFmt w:val="decimal"/>
      <w:lvlText w:val="%1.%2.%3.%4."/>
      <w:lvlJc w:val="left"/>
      <w:pPr>
        <w:ind w:hanging="720" w:left="720"/>
      </w:pPr>
    </w:lvl>
    <w:lvl w:ilvl="4">
      <w:start w:val="1"/>
      <w:numFmt w:val="decimal"/>
      <w:lvlText w:val="%1.%2.%3.%4.%5."/>
      <w:lvlJc w:val="left"/>
      <w:pPr>
        <w:ind w:hanging="1080" w:left="1080"/>
      </w:pPr>
    </w:lvl>
    <w:lvl w:ilvl="5">
      <w:start w:val="1"/>
      <w:numFmt w:val="decimal"/>
      <w:lvlText w:val="%1.%2.%3.%4.%5.%6."/>
      <w:lvlJc w:val="left"/>
      <w:pPr>
        <w:ind w:hanging="1080" w:left="1080"/>
      </w:pPr>
    </w:lvl>
    <w:lvl w:ilvl="6">
      <w:start w:val="1"/>
      <w:numFmt w:val="decimal"/>
      <w:lvlText w:val="%1.%2.%3.%4.%5.%6.%7."/>
      <w:lvlJc w:val="left"/>
      <w:pPr>
        <w:ind w:hanging="1440" w:left="1440"/>
      </w:pPr>
    </w:lvl>
    <w:lvl w:ilvl="7">
      <w:start w:val="1"/>
      <w:numFmt w:val="decimal"/>
      <w:lvlText w:val="%1.%2.%3.%4.%5.%6.%7.%8."/>
      <w:lvlJc w:val="left"/>
      <w:pPr>
        <w:ind w:hanging="1440" w:left="1440"/>
      </w:pPr>
    </w:lvl>
    <w:lvl w:ilvl="8">
      <w:start w:val="1"/>
      <w:numFmt w:val="decimal"/>
      <w:lvlText w:val="%1.%2.%3.%4.%5.%6.%7.%8.%9."/>
      <w:lvlJc w:val="left"/>
      <w:pPr>
        <w:ind w:hanging="1800" w:left="1800"/>
      </w:pPr>
    </w:lvl>
  </w:abstractNum>
  <w:abstractNum w:abstractNumId="2">
    <w:lvl w:ilvl="0">
      <w:start w:val="7"/>
      <w:numFmt w:val="decimal"/>
      <w:lvlText w:val="%1."/>
      <w:lvlJc w:val="left"/>
      <w:pPr>
        <w:ind w:hanging="540" w:left="540"/>
      </w:pPr>
    </w:lvl>
    <w:lvl w:ilvl="1">
      <w:start w:val="3"/>
      <w:numFmt w:val="decimal"/>
      <w:lvlText w:val="%1.%2."/>
      <w:lvlJc w:val="left"/>
      <w:pPr>
        <w:ind w:hanging="540" w:left="720"/>
      </w:pPr>
    </w:lvl>
    <w:lvl w:ilvl="2">
      <w:start w:val="1"/>
      <w:numFmt w:val="decimal"/>
      <w:lvlText w:val="%1.%2.%3."/>
      <w:lvlJc w:val="left"/>
      <w:pPr>
        <w:ind w:hanging="720" w:left="1080"/>
      </w:pPr>
    </w:lvl>
    <w:lvl w:ilvl="3">
      <w:start w:val="1"/>
      <w:numFmt w:val="decimal"/>
      <w:lvlText w:val="%1.%2.%3.%4."/>
      <w:lvlJc w:val="left"/>
      <w:pPr>
        <w:ind w:hanging="720" w:left="1260"/>
      </w:pPr>
    </w:lvl>
    <w:lvl w:ilvl="4">
      <w:start w:val="1"/>
      <w:numFmt w:val="decimal"/>
      <w:lvlText w:val="%1.%2.%3.%4.%5."/>
      <w:lvlJc w:val="left"/>
      <w:pPr>
        <w:ind w:hanging="1080" w:left="1800"/>
      </w:pPr>
    </w:lvl>
    <w:lvl w:ilvl="5">
      <w:start w:val="1"/>
      <w:numFmt w:val="decimal"/>
      <w:lvlText w:val="%1.%2.%3.%4.%5.%6."/>
      <w:lvlJc w:val="left"/>
      <w:pPr>
        <w:ind w:hanging="1080" w:left="1980"/>
      </w:pPr>
    </w:lvl>
    <w:lvl w:ilvl="6">
      <w:start w:val="1"/>
      <w:numFmt w:val="decimal"/>
      <w:lvlText w:val="%1.%2.%3.%4.%5.%6.%7."/>
      <w:lvlJc w:val="left"/>
      <w:pPr>
        <w:ind w:hanging="1440" w:left="2520"/>
      </w:pPr>
    </w:lvl>
    <w:lvl w:ilvl="7">
      <w:start w:val="1"/>
      <w:numFmt w:val="decimal"/>
      <w:lvlText w:val="%1.%2.%3.%4.%5.%6.%7.%8."/>
      <w:lvlJc w:val="left"/>
      <w:pPr>
        <w:ind w:hanging="1440" w:left="2700"/>
      </w:pPr>
    </w:lvl>
    <w:lvl w:ilvl="8">
      <w:start w:val="1"/>
      <w:numFmt w:val="decimal"/>
      <w:lvlText w:val="%1.%2.%3.%4.%5.%6.%7.%8.%9."/>
      <w:lvlJc w:val="left"/>
      <w:pPr>
        <w:ind w:hanging="1800" w:left="3240"/>
      </w:pPr>
    </w:lvl>
  </w:abstractNum>
  <w:abstractNum w:abstractNumId="3">
    <w:lvl w:ilvl="0">
      <w:start w:val="3"/>
      <w:numFmt w:val="decimal"/>
      <w:lvlText w:val="%1."/>
      <w:lvlJc w:val="left"/>
      <w:pPr>
        <w:ind w:hanging="360" w:left="360"/>
      </w:pPr>
    </w:lvl>
    <w:lvl w:ilvl="1">
      <w:start w:val="1"/>
      <w:numFmt w:val="decimal"/>
      <w:lvlText w:val="%1.%2."/>
      <w:lvlJc w:val="left"/>
      <w:pPr>
        <w:ind w:hanging="360" w:left="360"/>
      </w:pPr>
    </w:lvl>
    <w:lvl w:ilvl="2">
      <w:start w:val="1"/>
      <w:numFmt w:val="decimal"/>
      <w:lvlText w:val="%1.%2.%3."/>
      <w:lvlJc w:val="left"/>
      <w:pPr>
        <w:ind w:hanging="720" w:left="720"/>
      </w:pPr>
    </w:lvl>
    <w:lvl w:ilvl="3">
      <w:start w:val="1"/>
      <w:numFmt w:val="decimal"/>
      <w:lvlText w:val="%1.%2.%3.%4."/>
      <w:lvlJc w:val="left"/>
      <w:pPr>
        <w:ind w:hanging="720" w:left="720"/>
      </w:pPr>
    </w:lvl>
    <w:lvl w:ilvl="4">
      <w:start w:val="1"/>
      <w:numFmt w:val="decimal"/>
      <w:lvlText w:val="%1.%2.%3.%4.%5."/>
      <w:lvlJc w:val="left"/>
      <w:pPr>
        <w:ind w:hanging="1080" w:left="1080"/>
      </w:pPr>
    </w:lvl>
    <w:lvl w:ilvl="5">
      <w:start w:val="1"/>
      <w:numFmt w:val="decimal"/>
      <w:lvlText w:val="%1.%2.%3.%4.%5.%6."/>
      <w:lvlJc w:val="left"/>
      <w:pPr>
        <w:ind w:hanging="1080" w:left="1080"/>
      </w:pPr>
    </w:lvl>
    <w:lvl w:ilvl="6">
      <w:start w:val="1"/>
      <w:numFmt w:val="decimal"/>
      <w:lvlText w:val="%1.%2.%3.%4.%5.%6.%7."/>
      <w:lvlJc w:val="left"/>
      <w:pPr>
        <w:ind w:hanging="1440" w:left="1440"/>
      </w:pPr>
    </w:lvl>
    <w:lvl w:ilvl="7">
      <w:start w:val="1"/>
      <w:numFmt w:val="decimal"/>
      <w:lvlText w:val="%1.%2.%3.%4.%5.%6.%7.%8."/>
      <w:lvlJc w:val="left"/>
      <w:pPr>
        <w:ind w:hanging="1440" w:left="1440"/>
      </w:pPr>
    </w:lvl>
    <w:lvl w:ilvl="8">
      <w:start w:val="1"/>
      <w:numFmt w:val="decimal"/>
      <w:lvlText w:val="%1.%2.%3.%4.%5.%6.%7.%8.%9."/>
      <w:lvlJc w:val="left"/>
      <w:pPr>
        <w:ind w:hanging="1800" w:left="1800"/>
      </w:pPr>
    </w:lvl>
  </w:abstractNum>
  <w:abstractNum w:abstractNumId="4">
    <w:lvl w:ilvl="0">
      <w:start w:val="1"/>
      <w:numFmt w:val="decimal"/>
      <w:pStyle w:val="Style_34"/>
      <w:lvlText w:val="%1."/>
      <w:lvlJc w:val="left"/>
      <w:pPr>
        <w:tabs>
          <w:tab w:leader="none" w:pos="643" w:val="left"/>
        </w:tabs>
        <w:ind w:hanging="360" w:left="643"/>
      </w:p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4="http://schemas.microsoft.com/office/spreadsheetml/2009/9/main" xmlns:xdr="http://schemas.openxmlformats.org/drawingml/2006/spreadsheetDrawing" xmlns:xm="http://schemas.microsoft.com/office/excel/2006/main" mc:Ignorable="co co-ooxml w14 x14 w15">
  <w:defaultTabStop w:val="708"/>
  <w:clrSchemeMapping w:accent1="accent1" w:accent2="accent2" w:accent3="accent3" w:accent4="accent4" w:accent5="accent5" w:accent6="accent6" w:bg1="light1" w:bg2="light2" w:followedHyperlink="followedHyperlink" w:hyperlink="hyperlink" w:t1="dark1" w:t2="dark2"/>
</w:settings>
</file>

<file path=word/styles.xml><?xml version="1.0" encoding="utf-8"?>
<w:styles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4="http://schemas.microsoft.com/office/spreadsheetml/2009/9/main" xmlns:xdr="http://schemas.openxmlformats.org/drawingml/2006/spreadsheetDrawing" xmlns:xm="http://schemas.microsoft.com/office/excel/2006/main" mc:Ignorable="co co-ooxml w14 x14 w15">
  <w:docDefaults>
    <w:rPrDefault>
      <w:rPr>
        <w:rFonts w:ascii="Calibri" w:hAnsi="Calibri"/>
        <w:color w:val="000000"/>
        <w:spacing w:val="0"/>
        <w:sz w:val="20"/>
      </w:rPr>
    </w:rPrDefault>
    <w:pPrDefault>
      <w:pPr>
        <w:spacing w:after="0" w:before="0" w:line="240" w:lineRule="auto"/>
        <w:ind w:firstLine="0" w:left="0" w:right="0"/>
        <w:jc w:val="left"/>
      </w:pPr>
    </w:pPrDefault>
  </w:docDefaults>
  <w:latentStyles w:count="24"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semiHidden="0" w:uiPriority="9" w:unhideWhenUsed="0"/>
    <w:lsdException w:name="heading 3" w:qFormat="1" w:semiHidden="0" w:uiPriority="9" w:unhideWhenUsed="0"/>
    <w:lsdException w:name="heading 4" w:qFormat="1" w:semiHidden="0" w:uiPriority="9" w:unhideWhenUsed="0"/>
    <w:lsdException w:name="heading 5" w:qFormat="1" w:semiHidden="0" w:uiPriority="9" w:unhideWhenUsed="0"/>
    <w:lsdException w:name="heading 6" w:qFormat="1" w:semiHidden="1" w:uiPriority="9" w:unhideWhenUsed="1"/>
    <w:lsdException w:name="heading 7" w:qFormat="1" w:semiHidden="1" w:uiPriority="9" w:unhideWhenUsed="1"/>
    <w:lsdException w:name="heading 8" w:qFormat="1" w:semiHidden="1" w:uiPriority="9" w:unhideWhenUsed="1"/>
    <w:lsdException w:name="heading 9" w:qFormat="1" w:semiHidden="1" w:uiPriority="9" w:unhideWhenUsed="1"/>
    <w:lsdException w:name="Title" w:qFormat="1" w:semiHidden="0" w:uiPriority="10" w:unhideWhenUsed="0"/>
    <w:lsdException w:name="Subtitle" w:qFormat="1" w:semiHidden="0" w:uiPriority="11" w:unhideWhenUsed="0"/>
    <w:lsdException w:name="Header and Footer" w:qFormat="0" w:semiHidden="0" w:unhideWhenUsed="0"/>
    <w:lsdException w:name="Footnote" w:qFormat="0" w:semiHidden="0" w:unhideWhenUsed="0"/>
    <w:lsdException w:name="toc 1" w:qFormat="0" w:semiHidden="0" w:uiPriority="39" w:unhideWhenUsed="0"/>
    <w:lsdException w:name="toc 2" w:qFormat="0" w:semiHidden="0" w:uiPriority="39" w:unhideWhenUsed="0"/>
    <w:lsdException w:name="toc 3" w:qFormat="0" w:semiHidden="0" w:uiPriority="39" w:unhideWhenUsed="0"/>
    <w:lsdException w:name="toc 4" w:qFormat="0" w:semiHidden="0" w:uiPriority="39" w:unhideWhenUsed="0"/>
    <w:lsdException w:name="toc 5" w:qFormat="0" w:semiHidden="0" w:uiPriority="39" w:unhideWhenUsed="0"/>
    <w:lsdException w:name="toc 6" w:qFormat="0" w:semiHidden="0" w:uiPriority="39" w:unhideWhenUsed="0"/>
    <w:lsdException w:name="toc 7" w:qFormat="0" w:semiHidden="0" w:uiPriority="39" w:unhideWhenUsed="0"/>
    <w:lsdException w:name="toc 8" w:qFormat="0" w:semiHidden="0" w:uiPriority="39" w:unhideWhenUsed="0"/>
    <w:lsdException w:name="toc 9" w:qFormat="0" w:semiHidden="0" w:uiPriority="39" w:unhideWhenUsed="0"/>
    <w:lsdException w:name="Hyperlink" w:qFormat="0" w:semiHidden="0" w:unhideWhenUsed="0"/>
  </w:latentStyles>
  <w:style w:default="1" w:styleId="Style_9" w:type="paragraph">
    <w:name w:val="Normal"/>
    <w:link w:val="Style_9_ch"/>
    <w:uiPriority w:val="0"/>
    <w:qFormat/>
    <w:rPr>
      <w:rFonts w:ascii="Times New Roman" w:hAnsi="Times New Roman"/>
      <w:sz w:val="24"/>
    </w:rPr>
  </w:style>
  <w:style w:default="1" w:styleId="Style_9_ch" w:type="character">
    <w:name w:val="Normal"/>
    <w:link w:val="Style_9"/>
    <w:rPr>
      <w:rFonts w:ascii="Times New Roman" w:hAnsi="Times New Roman"/>
      <w:sz w:val="24"/>
    </w:rPr>
  </w:style>
  <w:style w:styleId="Style_10" w:type="paragraph">
    <w:name w:val="Стиль2"/>
    <w:basedOn w:val="Style_11"/>
    <w:link w:val="Style_10_ch"/>
    <w:pPr>
      <w:keepNext w:val="1"/>
      <w:keepLines w:val="1"/>
      <w:widowControl w:val="0"/>
      <w:numPr>
        <w:ilvl w:val="0"/>
        <w:numId w:val="0"/>
      </w:numPr>
      <w:tabs>
        <w:tab w:leader="none" w:pos="360" w:val="left"/>
        <w:tab w:leader="none" w:pos="432" w:val="left"/>
      </w:tabs>
      <w:spacing w:after="60"/>
      <w:ind w:hanging="360" w:left="360"/>
      <w:contextualSpacing w:val="0"/>
      <w:jc w:val="both"/>
    </w:pPr>
    <w:rPr>
      <w:b w:val="1"/>
    </w:rPr>
  </w:style>
  <w:style w:styleId="Style_10_ch" w:type="character">
    <w:name w:val="Стиль2"/>
    <w:basedOn w:val="Style_11_ch"/>
    <w:link w:val="Style_10"/>
    <w:rPr>
      <w:b w:val="1"/>
    </w:rPr>
  </w:style>
  <w:style w:styleId="Style_12" w:type="paragraph">
    <w:name w:val="toc 2"/>
    <w:next w:val="Style_9"/>
    <w:link w:val="Style_12_ch"/>
    <w:uiPriority w:val="39"/>
    <w:pPr>
      <w:ind w:firstLine="0" w:left="200"/>
      <w:jc w:val="left"/>
    </w:pPr>
    <w:rPr>
      <w:rFonts w:ascii="XO Thames" w:hAnsi="XO Thames"/>
      <w:sz w:val="28"/>
    </w:rPr>
  </w:style>
  <w:style w:styleId="Style_12_ch" w:type="character">
    <w:name w:val="toc 2"/>
    <w:link w:val="Style_12"/>
    <w:rPr>
      <w:rFonts w:ascii="XO Thames" w:hAnsi="XO Thames"/>
      <w:sz w:val="28"/>
    </w:rPr>
  </w:style>
  <w:style w:styleId="Style_13" w:type="paragraph">
    <w:name w:val="Default Paragraph Font"/>
    <w:link w:val="Style_13_ch"/>
  </w:style>
  <w:style w:styleId="Style_13_ch" w:type="character">
    <w:name w:val="Default Paragraph Font"/>
    <w:link w:val="Style_13"/>
  </w:style>
  <w:style w:styleId="Style_14" w:type="paragraph">
    <w:name w:val="toc 4"/>
    <w:next w:val="Style_9"/>
    <w:link w:val="Style_14_ch"/>
    <w:uiPriority w:val="39"/>
    <w:pPr>
      <w:ind w:firstLine="0" w:left="600"/>
      <w:jc w:val="left"/>
    </w:pPr>
    <w:rPr>
      <w:rFonts w:ascii="XO Thames" w:hAnsi="XO Thames"/>
      <w:sz w:val="28"/>
    </w:rPr>
  </w:style>
  <w:style w:styleId="Style_14_ch" w:type="character">
    <w:name w:val="toc 4"/>
    <w:link w:val="Style_14"/>
    <w:rPr>
      <w:rFonts w:ascii="XO Thames" w:hAnsi="XO Thames"/>
      <w:sz w:val="28"/>
    </w:rPr>
  </w:style>
  <w:style w:styleId="Style_15" w:type="paragraph">
    <w:name w:val="toc 6"/>
    <w:next w:val="Style_9"/>
    <w:link w:val="Style_15_ch"/>
    <w:uiPriority w:val="39"/>
    <w:pPr>
      <w:ind w:firstLine="0" w:left="1000"/>
      <w:jc w:val="left"/>
    </w:pPr>
    <w:rPr>
      <w:rFonts w:ascii="XO Thames" w:hAnsi="XO Thames"/>
      <w:sz w:val="28"/>
    </w:rPr>
  </w:style>
  <w:style w:styleId="Style_15_ch" w:type="character">
    <w:name w:val="toc 6"/>
    <w:link w:val="Style_15"/>
    <w:rPr>
      <w:rFonts w:ascii="XO Thames" w:hAnsi="XO Thames"/>
      <w:sz w:val="28"/>
    </w:rPr>
  </w:style>
  <w:style w:styleId="Style_16" w:type="paragraph">
    <w:name w:val="_обычный"/>
    <w:basedOn w:val="Style_17"/>
    <w:link w:val="Style_16_ch"/>
    <w:pPr>
      <w:widowControl w:val="1"/>
      <w:spacing w:after="0" w:before="60"/>
      <w:ind/>
      <w:jc w:val="both"/>
    </w:pPr>
    <w:rPr>
      <w:rFonts w:ascii="Times New Roman" w:hAnsi="Times New Roman"/>
      <w:sz w:val="24"/>
    </w:rPr>
  </w:style>
  <w:style w:styleId="Style_16_ch" w:type="character">
    <w:name w:val="_обычный"/>
    <w:basedOn w:val="Style_17_ch"/>
    <w:link w:val="Style_16"/>
    <w:rPr>
      <w:rFonts w:ascii="Times New Roman" w:hAnsi="Times New Roman"/>
      <w:sz w:val="24"/>
    </w:rPr>
  </w:style>
  <w:style w:styleId="Style_18" w:type="paragraph">
    <w:name w:val="toc 7"/>
    <w:next w:val="Style_9"/>
    <w:link w:val="Style_18_ch"/>
    <w:uiPriority w:val="39"/>
    <w:pPr>
      <w:ind w:firstLine="0" w:left="1200"/>
      <w:jc w:val="left"/>
    </w:pPr>
    <w:rPr>
      <w:rFonts w:ascii="XO Thames" w:hAnsi="XO Thames"/>
      <w:sz w:val="28"/>
    </w:rPr>
  </w:style>
  <w:style w:styleId="Style_18_ch" w:type="character">
    <w:name w:val="toc 7"/>
    <w:link w:val="Style_18"/>
    <w:rPr>
      <w:rFonts w:ascii="XO Thames" w:hAnsi="XO Thames"/>
      <w:sz w:val="28"/>
    </w:rPr>
  </w:style>
  <w:style w:styleId="Style_1" w:type="paragraph">
    <w:name w:val="footer"/>
    <w:basedOn w:val="Style_9"/>
    <w:link w:val="Style_1_ch"/>
    <w:pPr>
      <w:tabs>
        <w:tab w:leader="none" w:pos="4677" w:val="center"/>
        <w:tab w:leader="none" w:pos="9355" w:val="right"/>
      </w:tabs>
      <w:ind/>
    </w:pPr>
  </w:style>
  <w:style w:styleId="Style_1_ch" w:type="character">
    <w:name w:val="footer"/>
    <w:basedOn w:val="Style_9_ch"/>
    <w:link w:val="Style_1"/>
  </w:style>
  <w:style w:styleId="Style_19" w:type="paragraph">
    <w:name w:val="Стиль3 Знак"/>
    <w:next w:val="Style_4"/>
    <w:link w:val="Style_19_ch"/>
    <w:pPr>
      <w:widowControl w:val="0"/>
      <w:tabs>
        <w:tab w:leader="none" w:pos="227" w:val="left"/>
      </w:tabs>
      <w:ind/>
      <w:jc w:val="both"/>
    </w:pPr>
    <w:rPr>
      <w:rFonts w:ascii="Times New Roman" w:hAnsi="Times New Roman"/>
      <w:sz w:val="24"/>
    </w:rPr>
  </w:style>
  <w:style w:styleId="Style_19_ch" w:type="character">
    <w:name w:val="Стиль3 Знак"/>
    <w:link w:val="Style_19"/>
    <w:rPr>
      <w:rFonts w:ascii="Times New Roman" w:hAnsi="Times New Roman"/>
      <w:sz w:val="24"/>
    </w:rPr>
  </w:style>
  <w:style w:styleId="Style_20" w:type="paragraph">
    <w:name w:val="heading 3"/>
    <w:basedOn w:val="Style_9"/>
    <w:next w:val="Style_9"/>
    <w:link w:val="Style_20_ch"/>
    <w:uiPriority w:val="9"/>
    <w:qFormat/>
    <w:pPr>
      <w:keepNext w:val="1"/>
      <w:spacing w:after="60" w:before="240"/>
      <w:ind/>
      <w:outlineLvl w:val="2"/>
    </w:pPr>
    <w:rPr>
      <w:rFonts w:ascii="Arial" w:hAnsi="Arial"/>
      <w:b w:val="1"/>
      <w:sz w:val="26"/>
    </w:rPr>
  </w:style>
  <w:style w:styleId="Style_20_ch" w:type="character">
    <w:name w:val="heading 3"/>
    <w:basedOn w:val="Style_9_ch"/>
    <w:link w:val="Style_20"/>
    <w:rPr>
      <w:rFonts w:ascii="Arial" w:hAnsi="Arial"/>
      <w:b w:val="1"/>
      <w:sz w:val="26"/>
    </w:rPr>
  </w:style>
  <w:style w:styleId="Style_4" w:type="paragraph">
    <w:name w:val="Body Text"/>
    <w:basedOn w:val="Style_9"/>
    <w:link w:val="Style_4_ch"/>
    <w:pPr>
      <w:ind/>
      <w:jc w:val="both"/>
    </w:pPr>
  </w:style>
  <w:style w:styleId="Style_4_ch" w:type="character">
    <w:name w:val="Body Text"/>
    <w:basedOn w:val="Style_9_ch"/>
    <w:link w:val="Style_4"/>
  </w:style>
  <w:style w:styleId="Style_3" w:type="paragraph">
    <w:name w:val="Heading"/>
    <w:link w:val="Style_3_ch"/>
    <w:rPr>
      <w:rFonts w:ascii="Arial" w:hAnsi="Arial"/>
      <w:b w:val="1"/>
      <w:sz w:val="22"/>
    </w:rPr>
  </w:style>
  <w:style w:styleId="Style_3_ch" w:type="character">
    <w:name w:val="Heading"/>
    <w:link w:val="Style_3"/>
    <w:rPr>
      <w:rFonts w:ascii="Arial" w:hAnsi="Arial"/>
      <w:b w:val="1"/>
      <w:sz w:val="22"/>
    </w:rPr>
  </w:style>
  <w:style w:styleId="Style_21" w:type="paragraph">
    <w:name w:val="footnote reference"/>
    <w:link w:val="Style_21_ch"/>
    <w:rPr>
      <w:vertAlign w:val="superscript"/>
    </w:rPr>
  </w:style>
  <w:style w:styleId="Style_21_ch" w:type="character">
    <w:name w:val="footnote reference"/>
    <w:link w:val="Style_21"/>
    <w:rPr>
      <w:vertAlign w:val="superscript"/>
    </w:rPr>
  </w:style>
  <w:style w:styleId="Style_22" w:type="paragraph">
    <w:name w:val="toc 3"/>
    <w:next w:val="Style_9"/>
    <w:link w:val="Style_22_ch"/>
    <w:uiPriority w:val="39"/>
    <w:pPr>
      <w:ind w:firstLine="0" w:left="400"/>
      <w:jc w:val="left"/>
    </w:pPr>
    <w:rPr>
      <w:rFonts w:ascii="XO Thames" w:hAnsi="XO Thames"/>
      <w:sz w:val="28"/>
    </w:rPr>
  </w:style>
  <w:style w:styleId="Style_22_ch" w:type="character">
    <w:name w:val="toc 3"/>
    <w:link w:val="Style_22"/>
    <w:rPr>
      <w:rFonts w:ascii="XO Thames" w:hAnsi="XO Thames"/>
      <w:sz w:val="28"/>
    </w:rPr>
  </w:style>
  <w:style w:styleId="Style_23" w:type="paragraph">
    <w:name w:val="Body Text Indent 2"/>
    <w:basedOn w:val="Style_9"/>
    <w:link w:val="Style_23_ch"/>
    <w:pPr>
      <w:spacing w:after="120" w:line="480" w:lineRule="auto"/>
      <w:ind w:firstLine="0" w:left="283"/>
    </w:pPr>
  </w:style>
  <w:style w:styleId="Style_23_ch" w:type="character">
    <w:name w:val="Body Text Indent 2"/>
    <w:basedOn w:val="Style_9_ch"/>
    <w:link w:val="Style_23"/>
  </w:style>
  <w:style w:styleId="Style_24" w:type="paragraph">
    <w:name w:val="Balloon Text"/>
    <w:basedOn w:val="Style_9"/>
    <w:link w:val="Style_24_ch"/>
    <w:rPr>
      <w:rFonts w:ascii="Tahoma" w:hAnsi="Tahoma"/>
      <w:sz w:val="16"/>
    </w:rPr>
  </w:style>
  <w:style w:styleId="Style_24_ch" w:type="character">
    <w:name w:val="Balloon Text"/>
    <w:basedOn w:val="Style_9_ch"/>
    <w:link w:val="Style_24"/>
    <w:rPr>
      <w:rFonts w:ascii="Tahoma" w:hAnsi="Tahoma"/>
      <w:sz w:val="16"/>
    </w:rPr>
  </w:style>
  <w:style w:styleId="Style_25" w:type="paragraph">
    <w:name w:val="heading 5"/>
    <w:next w:val="Style_9"/>
    <w:link w:val="Style_25_ch"/>
    <w:uiPriority w:val="9"/>
    <w:qFormat/>
    <w:pPr>
      <w:spacing w:after="120" w:before="120"/>
      <w:ind/>
      <w:jc w:val="both"/>
      <w:outlineLvl w:val="4"/>
    </w:pPr>
    <w:rPr>
      <w:rFonts w:ascii="XO Thames" w:hAnsi="XO Thames"/>
      <w:b w:val="1"/>
      <w:sz w:val="22"/>
    </w:rPr>
  </w:style>
  <w:style w:styleId="Style_25_ch" w:type="character">
    <w:name w:val="heading 5"/>
    <w:link w:val="Style_25"/>
    <w:rPr>
      <w:rFonts w:ascii="XO Thames" w:hAnsi="XO Thames"/>
      <w:b w:val="1"/>
      <w:sz w:val="22"/>
    </w:rPr>
  </w:style>
  <w:style w:styleId="Style_26" w:type="paragraph">
    <w:name w:val="Заголовок 2 Знак"/>
    <w:link w:val="Style_26_ch"/>
    <w:rPr>
      <w:rFonts w:ascii="Cambria" w:hAnsi="Cambria"/>
      <w:b w:val="1"/>
      <w:color w:val="4F81BD"/>
      <w:sz w:val="26"/>
    </w:rPr>
  </w:style>
  <w:style w:styleId="Style_26_ch" w:type="character">
    <w:name w:val="Заголовок 2 Знак"/>
    <w:link w:val="Style_26"/>
    <w:rPr>
      <w:rFonts w:ascii="Cambria" w:hAnsi="Cambria"/>
      <w:b w:val="1"/>
      <w:color w:val="4F81BD"/>
      <w:sz w:val="26"/>
    </w:rPr>
  </w:style>
  <w:style w:styleId="Style_8" w:type="paragraph">
    <w:name w:val="heading 1"/>
    <w:basedOn w:val="Style_9"/>
    <w:next w:val="Style_9"/>
    <w:link w:val="Style_8_ch"/>
    <w:uiPriority w:val="9"/>
    <w:qFormat/>
    <w:pPr>
      <w:keepNext w:val="1"/>
      <w:spacing w:after="60" w:before="240"/>
      <w:ind/>
      <w:outlineLvl w:val="0"/>
    </w:pPr>
    <w:rPr>
      <w:rFonts w:ascii="Arial" w:hAnsi="Arial"/>
      <w:b w:val="1"/>
      <w:sz w:val="32"/>
    </w:rPr>
  </w:style>
  <w:style w:styleId="Style_8_ch" w:type="character">
    <w:name w:val="heading 1"/>
    <w:basedOn w:val="Style_9_ch"/>
    <w:link w:val="Style_8"/>
    <w:rPr>
      <w:rFonts w:ascii="Arial" w:hAnsi="Arial"/>
      <w:b w:val="1"/>
      <w:sz w:val="32"/>
    </w:rPr>
  </w:style>
  <w:style w:styleId="Style_27" w:type="paragraph">
    <w:name w:val="Hyperlink"/>
    <w:link w:val="Style_27_ch"/>
    <w:rPr>
      <w:color w:val="0000FF"/>
      <w:u w:val="single"/>
    </w:rPr>
  </w:style>
  <w:style w:styleId="Style_27_ch" w:type="character">
    <w:name w:val="Hyperlink"/>
    <w:link w:val="Style_27"/>
    <w:rPr>
      <w:color w:val="0000FF"/>
      <w:u w:val="single"/>
    </w:rPr>
  </w:style>
  <w:style w:styleId="Style_28" w:type="paragraph">
    <w:name w:val="Footnote"/>
    <w:basedOn w:val="Style_9"/>
    <w:link w:val="Style_28_ch"/>
    <w:rPr>
      <w:rFonts w:ascii="Calibri" w:hAnsi="Calibri"/>
      <w:sz w:val="20"/>
    </w:rPr>
  </w:style>
  <w:style w:styleId="Style_28_ch" w:type="character">
    <w:name w:val="Footnote"/>
    <w:basedOn w:val="Style_9_ch"/>
    <w:link w:val="Style_28"/>
    <w:rPr>
      <w:rFonts w:ascii="Calibri" w:hAnsi="Calibri"/>
      <w:sz w:val="20"/>
    </w:rPr>
  </w:style>
  <w:style w:styleId="Style_29" w:type="paragraph">
    <w:name w:val="toc 1"/>
    <w:next w:val="Style_9"/>
    <w:link w:val="Style_29_ch"/>
    <w:uiPriority w:val="39"/>
    <w:pPr>
      <w:ind w:firstLine="0" w:left="0"/>
      <w:jc w:val="left"/>
    </w:pPr>
    <w:rPr>
      <w:rFonts w:ascii="XO Thames" w:hAnsi="XO Thames"/>
      <w:b w:val="1"/>
      <w:sz w:val="28"/>
    </w:rPr>
  </w:style>
  <w:style w:styleId="Style_29_ch" w:type="character">
    <w:name w:val="toc 1"/>
    <w:link w:val="Style_29"/>
    <w:rPr>
      <w:rFonts w:ascii="XO Thames" w:hAnsi="XO Thames"/>
      <w:b w:val="1"/>
      <w:sz w:val="28"/>
    </w:rPr>
  </w:style>
  <w:style w:styleId="Style_30" w:type="paragraph">
    <w:name w:val="Header and Footer"/>
    <w:link w:val="Style_30_ch"/>
    <w:pPr>
      <w:spacing w:line="240" w:lineRule="auto"/>
      <w:ind/>
      <w:jc w:val="both"/>
    </w:pPr>
    <w:rPr>
      <w:rFonts w:ascii="XO Thames" w:hAnsi="XO Thames"/>
      <w:sz w:val="20"/>
    </w:rPr>
  </w:style>
  <w:style w:styleId="Style_30_ch" w:type="character">
    <w:name w:val="Header and Footer"/>
    <w:link w:val="Style_30"/>
    <w:rPr>
      <w:rFonts w:ascii="XO Thames" w:hAnsi="XO Thames"/>
      <w:sz w:val="20"/>
    </w:rPr>
  </w:style>
  <w:style w:styleId="Style_5" w:type="paragraph">
    <w:name w:val="List Paragraph"/>
    <w:basedOn w:val="Style_9"/>
    <w:link w:val="Style_5_ch"/>
    <w:pPr>
      <w:spacing w:after="200" w:line="276" w:lineRule="auto"/>
      <w:ind w:firstLine="0" w:left="720"/>
      <w:contextualSpacing w:val="1"/>
    </w:pPr>
    <w:rPr>
      <w:rFonts w:ascii="Calibri" w:hAnsi="Calibri"/>
      <w:sz w:val="22"/>
    </w:rPr>
  </w:style>
  <w:style w:styleId="Style_5_ch" w:type="character">
    <w:name w:val="List Paragraph"/>
    <w:basedOn w:val="Style_9_ch"/>
    <w:link w:val="Style_5"/>
    <w:rPr>
      <w:rFonts w:ascii="Calibri" w:hAnsi="Calibri"/>
      <w:sz w:val="22"/>
    </w:rPr>
  </w:style>
  <w:style w:styleId="Style_31" w:type="paragraph">
    <w:name w:val="No Spacing"/>
    <w:link w:val="Style_31_ch"/>
    <w:rPr>
      <w:sz w:val="22"/>
    </w:rPr>
  </w:style>
  <w:style w:styleId="Style_31_ch" w:type="character">
    <w:name w:val="No Spacing"/>
    <w:link w:val="Style_31"/>
    <w:rPr>
      <w:sz w:val="22"/>
    </w:rPr>
  </w:style>
  <w:style w:styleId="Style_32" w:type="paragraph">
    <w:name w:val="toc 9"/>
    <w:next w:val="Style_9"/>
    <w:link w:val="Style_32_ch"/>
    <w:uiPriority w:val="39"/>
    <w:pPr>
      <w:ind w:firstLine="0" w:left="1600"/>
      <w:jc w:val="left"/>
    </w:pPr>
    <w:rPr>
      <w:rFonts w:ascii="XO Thames" w:hAnsi="XO Thames"/>
      <w:sz w:val="28"/>
    </w:rPr>
  </w:style>
  <w:style w:styleId="Style_32_ch" w:type="character">
    <w:name w:val="toc 9"/>
    <w:link w:val="Style_32"/>
    <w:rPr>
      <w:rFonts w:ascii="XO Thames" w:hAnsi="XO Thames"/>
      <w:sz w:val="28"/>
    </w:rPr>
  </w:style>
  <w:style w:styleId="Style_17" w:type="paragraph">
    <w:name w:val="Базовый"/>
    <w:link w:val="Style_17_ch"/>
    <w:pPr>
      <w:widowControl w:val="0"/>
      <w:tabs>
        <w:tab w:leader="none" w:pos="708" w:val="left"/>
      </w:tabs>
      <w:spacing w:after="200" w:line="276" w:lineRule="auto"/>
      <w:ind/>
    </w:pPr>
    <w:rPr>
      <w:rFonts w:ascii="Arial" w:hAnsi="Arial"/>
      <w:color w:val="00000A"/>
      <w:sz w:val="18"/>
    </w:rPr>
  </w:style>
  <w:style w:styleId="Style_17_ch" w:type="character">
    <w:name w:val="Базовый"/>
    <w:link w:val="Style_17"/>
    <w:rPr>
      <w:rFonts w:ascii="Arial" w:hAnsi="Arial"/>
      <w:color w:val="00000A"/>
      <w:sz w:val="18"/>
    </w:rPr>
  </w:style>
  <w:style w:styleId="Style_2" w:type="paragraph">
    <w:name w:val="Body Text Indent"/>
    <w:basedOn w:val="Style_9"/>
    <w:link w:val="Style_2_ch"/>
    <w:pPr>
      <w:numPr>
        <w:ilvl w:val="2"/>
      </w:numPr>
      <w:tabs>
        <w:tab w:leader="none" w:pos="0" w:val="left"/>
        <w:tab w:leader="none" w:pos="1080" w:val="left"/>
      </w:tabs>
      <w:ind w:firstLine="709" w:left="0"/>
      <w:jc w:val="both"/>
    </w:pPr>
  </w:style>
  <w:style w:styleId="Style_2_ch" w:type="character">
    <w:name w:val="Body Text Indent"/>
    <w:basedOn w:val="Style_9_ch"/>
    <w:link w:val="Style_2"/>
  </w:style>
  <w:style w:styleId="Style_33" w:type="paragraph">
    <w:name w:val="toc 8"/>
    <w:next w:val="Style_9"/>
    <w:link w:val="Style_33_ch"/>
    <w:uiPriority w:val="39"/>
    <w:pPr>
      <w:ind w:firstLine="0" w:left="1400"/>
      <w:jc w:val="left"/>
    </w:pPr>
    <w:rPr>
      <w:rFonts w:ascii="XO Thames" w:hAnsi="XO Thames"/>
      <w:sz w:val="28"/>
    </w:rPr>
  </w:style>
  <w:style w:styleId="Style_33_ch" w:type="character">
    <w:name w:val="toc 8"/>
    <w:link w:val="Style_33"/>
    <w:rPr>
      <w:rFonts w:ascii="XO Thames" w:hAnsi="XO Thames"/>
      <w:sz w:val="28"/>
    </w:rPr>
  </w:style>
  <w:style w:styleId="Style_11" w:type="paragraph">
    <w:name w:val="List Number 2"/>
    <w:basedOn w:val="Style_9"/>
    <w:link w:val="Style_11_ch"/>
    <w:pPr>
      <w:numPr>
        <w:ilvl w:val="0"/>
        <w:numId w:val="5"/>
      </w:numPr>
      <w:ind/>
      <w:contextualSpacing w:val="1"/>
    </w:pPr>
  </w:style>
  <w:style w:styleId="Style_11_ch" w:type="character">
    <w:name w:val="List Number 2"/>
    <w:basedOn w:val="Style_9_ch"/>
    <w:link w:val="Style_11"/>
  </w:style>
  <w:style w:styleId="Style_34" w:type="paragraph">
    <w:name w:val="Пункты"/>
    <w:basedOn w:val="Style_7"/>
    <w:link w:val="Style_34_ch"/>
    <w:pPr>
      <w:numPr>
        <w:ilvl w:val="0"/>
        <w:numId w:val="5"/>
      </w:numPr>
      <w:tabs>
        <w:tab w:leader="none" w:pos="1134" w:val="left"/>
      </w:tabs>
      <w:spacing w:after="0" w:before="120" w:line="100" w:lineRule="atLeast"/>
      <w:ind/>
      <w:jc w:val="both"/>
    </w:pPr>
    <w:rPr>
      <w:rFonts w:ascii="Times New Roman" w:hAnsi="Times New Roman"/>
      <w:b w:val="0"/>
      <w:i w:val="0"/>
      <w:color w:val="00000A"/>
    </w:rPr>
  </w:style>
  <w:style w:styleId="Style_34_ch" w:type="character">
    <w:name w:val="Пункты"/>
    <w:basedOn w:val="Style_7_ch"/>
    <w:link w:val="Style_34"/>
    <w:rPr>
      <w:rFonts w:ascii="Times New Roman" w:hAnsi="Times New Roman"/>
      <w:b w:val="0"/>
      <w:i w:val="0"/>
      <w:color w:val="00000A"/>
    </w:rPr>
  </w:style>
  <w:style w:styleId="Style_35" w:type="paragraph">
    <w:name w:val="Заголовок 3 Знак"/>
    <w:link w:val="Style_35_ch"/>
    <w:rPr>
      <w:rFonts w:ascii="Cambria" w:hAnsi="Cambria"/>
      <w:b w:val="1"/>
      <w:color w:val="4F81BD"/>
      <w:sz w:val="24"/>
    </w:rPr>
  </w:style>
  <w:style w:styleId="Style_35_ch" w:type="character">
    <w:name w:val="Заголовок 3 Знак"/>
    <w:link w:val="Style_35"/>
    <w:rPr>
      <w:rFonts w:ascii="Cambria" w:hAnsi="Cambria"/>
      <w:b w:val="1"/>
      <w:color w:val="4F81BD"/>
      <w:sz w:val="24"/>
    </w:rPr>
  </w:style>
  <w:style w:styleId="Style_36" w:type="paragraph">
    <w:name w:val="toc 5"/>
    <w:next w:val="Style_9"/>
    <w:link w:val="Style_36_ch"/>
    <w:uiPriority w:val="39"/>
    <w:pPr>
      <w:ind w:firstLine="0" w:left="800"/>
      <w:jc w:val="left"/>
    </w:pPr>
    <w:rPr>
      <w:rFonts w:ascii="XO Thames" w:hAnsi="XO Thames"/>
      <w:sz w:val="28"/>
    </w:rPr>
  </w:style>
  <w:style w:styleId="Style_36_ch" w:type="character">
    <w:name w:val="toc 5"/>
    <w:link w:val="Style_36"/>
    <w:rPr>
      <w:rFonts w:ascii="XO Thames" w:hAnsi="XO Thames"/>
      <w:sz w:val="28"/>
    </w:rPr>
  </w:style>
  <w:style w:styleId="Style_37" w:type="paragraph">
    <w:name w:val="ConsPlusNonformat"/>
    <w:link w:val="Style_37_ch"/>
    <w:rPr>
      <w:rFonts w:ascii="Courier New" w:hAnsi="Courier New"/>
      <w:sz w:val="22"/>
    </w:rPr>
  </w:style>
  <w:style w:styleId="Style_37_ch" w:type="character">
    <w:name w:val="ConsPlusNonformat"/>
    <w:link w:val="Style_37"/>
    <w:rPr>
      <w:rFonts w:ascii="Courier New" w:hAnsi="Courier New"/>
      <w:sz w:val="22"/>
    </w:rPr>
  </w:style>
  <w:style w:styleId="Style_38" w:type="paragraph">
    <w:name w:val="Subtitle"/>
    <w:next w:val="Style_9"/>
    <w:link w:val="Style_38_ch"/>
    <w:uiPriority w:val="11"/>
    <w:qFormat/>
    <w:pPr>
      <w:ind/>
      <w:jc w:val="both"/>
    </w:pPr>
    <w:rPr>
      <w:rFonts w:ascii="XO Thames" w:hAnsi="XO Thames"/>
      <w:i w:val="1"/>
      <w:sz w:val="24"/>
    </w:rPr>
  </w:style>
  <w:style w:styleId="Style_38_ch" w:type="character">
    <w:name w:val="Subtitle"/>
    <w:link w:val="Style_38"/>
    <w:rPr>
      <w:rFonts w:ascii="XO Thames" w:hAnsi="XO Thames"/>
      <w:i w:val="1"/>
      <w:sz w:val="24"/>
    </w:rPr>
  </w:style>
  <w:style w:styleId="Style_39" w:type="paragraph">
    <w:name w:val="Title"/>
    <w:next w:val="Style_9"/>
    <w:link w:val="Style_39_ch"/>
    <w:uiPriority w:val="10"/>
    <w:qFormat/>
    <w:pPr>
      <w:spacing w:after="567" w:before="567"/>
      <w:ind/>
      <w:jc w:val="center"/>
    </w:pPr>
    <w:rPr>
      <w:rFonts w:ascii="XO Thames" w:hAnsi="XO Thames"/>
      <w:b w:val="1"/>
      <w:caps w:val="1"/>
      <w:sz w:val="40"/>
    </w:rPr>
  </w:style>
  <w:style w:styleId="Style_39_ch" w:type="character">
    <w:name w:val="Title"/>
    <w:link w:val="Style_39"/>
    <w:rPr>
      <w:rFonts w:ascii="XO Thames" w:hAnsi="XO Thames"/>
      <w:b w:val="1"/>
      <w:caps w:val="1"/>
      <w:sz w:val="40"/>
    </w:rPr>
  </w:style>
  <w:style w:styleId="Style_40" w:type="paragraph">
    <w:name w:val="heading 4"/>
    <w:next w:val="Style_9"/>
    <w:link w:val="Style_40_ch"/>
    <w:uiPriority w:val="9"/>
    <w:qFormat/>
    <w:pPr>
      <w:spacing w:after="120" w:before="120"/>
      <w:ind/>
      <w:jc w:val="both"/>
      <w:outlineLvl w:val="3"/>
    </w:pPr>
    <w:rPr>
      <w:rFonts w:ascii="XO Thames" w:hAnsi="XO Thames"/>
      <w:b w:val="1"/>
      <w:sz w:val="24"/>
    </w:rPr>
  </w:style>
  <w:style w:styleId="Style_40_ch" w:type="character">
    <w:name w:val="heading 4"/>
    <w:link w:val="Style_40"/>
    <w:rPr>
      <w:rFonts w:ascii="XO Thames" w:hAnsi="XO Thames"/>
      <w:b w:val="1"/>
      <w:sz w:val="24"/>
    </w:rPr>
  </w:style>
  <w:style w:styleId="Style_41" w:type="paragraph">
    <w:name w:val="header"/>
    <w:basedOn w:val="Style_9"/>
    <w:link w:val="Style_41_ch"/>
    <w:pPr>
      <w:tabs>
        <w:tab w:leader="none" w:pos="4677" w:val="center"/>
        <w:tab w:leader="none" w:pos="9355" w:val="right"/>
      </w:tabs>
      <w:ind/>
    </w:pPr>
  </w:style>
  <w:style w:styleId="Style_41_ch" w:type="character">
    <w:name w:val="header"/>
    <w:basedOn w:val="Style_9_ch"/>
    <w:link w:val="Style_41"/>
  </w:style>
  <w:style w:styleId="Style_7" w:type="paragraph">
    <w:name w:val="heading 2"/>
    <w:basedOn w:val="Style_9"/>
    <w:next w:val="Style_9"/>
    <w:link w:val="Style_7_ch"/>
    <w:uiPriority w:val="9"/>
    <w:qFormat/>
    <w:pPr>
      <w:keepNext w:val="1"/>
      <w:spacing w:after="60" w:before="240"/>
      <w:ind/>
      <w:outlineLvl w:val="1"/>
    </w:pPr>
    <w:rPr>
      <w:rFonts w:ascii="Arial" w:hAnsi="Arial"/>
      <w:b w:val="1"/>
      <w:i w:val="1"/>
      <w:sz w:val="28"/>
    </w:rPr>
  </w:style>
  <w:style w:styleId="Style_7_ch" w:type="character">
    <w:name w:val="heading 2"/>
    <w:basedOn w:val="Style_9_ch"/>
    <w:link w:val="Style_7"/>
    <w:rPr>
      <w:rFonts w:ascii="Arial" w:hAnsi="Arial"/>
      <w:b w:val="1"/>
      <w:i w:val="1"/>
      <w:sz w:val="28"/>
    </w:rPr>
  </w:style>
  <w:style w:styleId="Style_42" w:type="table">
    <w:name w:val="Table Grid"/>
    <w:basedOn w:val="Style_6"/>
    <w:tblPr>
      <w:tblBorders>
        <w:top w:color="000000" w:sz="4" w:val="single"/>
        <w:left w:color="000000" w:sz="4" w:val="single"/>
        <w:bottom w:color="000000" w:sz="4" w:val="single"/>
        <w:right w:color="000000" w:sz="4" w:val="single"/>
        <w:insideH w:color="000000" w:sz="4" w:val="single"/>
        <w:insideV w:color="000000" w:sz="4" w:val="single"/>
      </w:tblBorders>
    </w:tblPr>
  </w:style>
  <w:style w:default="1" w:styleId="Style_6" w:type="table">
    <w:name w:val="Normal Table"/>
    <w:tblPr>
      <w:tblInd w:type="dxa" w:w="0"/>
      <w:tblCellMar>
        <w:top w:type="dxa" w:w="0"/>
        <w:left w:type="dxa" w:w="108"/>
        <w:bottom w:type="dxa" w:w="0"/>
        <w:right w:type="dxa" w:w="108"/>
      </w:tblCellMar>
    </w:tblPr>
  </w:style>
</w:styles>
</file>

<file path=word/stylesWithEffects.xml><?xml version="1.0" encoding="utf-8"?>
<w:styles xmlns:w="http://schemas.openxmlformats.org/wordprocessingml/2006/main">
  <w:docDefaults>
    <w:rPrDefault>
      <w:rPr>
        <w:rFonts w:asciiTheme="minorHAnsi" w:cstheme="minorBidi" w:eastAsiaTheme="minorEastAsia" w:hAnsiTheme="minorHAnsi"/>
        <w:sz w:val="24"/>
        <w:szCs w:val="24"/>
        <w:lang w:bidi="ar-SA" w:eastAsia="en-US" w:val="en-US"/>
      </w:rPr>
    </w:rPrDefault>
    <w:pPrDefault/>
  </w:docDefaults>
  <w:latentStyles w:count="276"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style>
  <w:style w:styleId="Heading1" w:type="paragraph">
    <w:name w:val="heading 1"/>
    <w:basedOn w:val="Normal"/>
    <w:next w:val="Normal"/>
    <w:link w:val="Heading1Char"/>
    <w:uiPriority w:val="9"/>
    <w:qFormat/>
    <w:rsid w:val="00111FAE"/>
    <w:pPr>
      <w:keepNext/>
      <w:keepLines/>
      <w:spacing w:before="480"/>
      <w:outlineLvl w:val="0"/>
    </w:pPr>
    <w:rPr>
      <w:rFonts w:asciiTheme="majorHAnsi" w:cstheme="majorBidi" w:eastAsiaTheme="majorEastAsia" w:hAnsiTheme="majorHAnsi"/>
      <w:b/>
      <w:bCs/>
      <w:color w:themeColor="accent1" w:themeShade="B5" w:val="345A8A"/>
      <w:sz w:val="32"/>
      <w:szCs w:val="32"/>
    </w:rPr>
  </w:style>
  <w:style w:default="1" w:styleId="DefaultParagraphFont" w:type="character">
    <w:name w:val="Default Paragraph Font"/>
    <w:uiPriority w:val="1"/>
    <w:semiHidden/>
    <w:unhideWhenUsed/>
  </w:style>
  <w:style w:default="1" w:styleId="TableNormal" w:type="table">
    <w:name w:val="Normal Table"/>
    <w:uiPriority w:val="99"/>
    <w:semiHidden/>
    <w:unhideWhenUsed/>
    <w:tblPr>
      <w:tblInd w:type="dxa" w:w="0"/>
      <w:tblCellMar>
        <w:top w:type="dxa" w:w="0"/>
        <w:left w:type="dxa" w:w="108"/>
        <w:bottom w:type="dxa" w:w="0"/>
        <w:right w:type="dxa" w:w="108"/>
      </w:tblCellMar>
    </w:tblPr>
  </w:style>
  <w:style w:default="1" w:styleId="NoList" w:type="numbering">
    <w:name w:val="No List"/>
    <w:uiPriority w:val="99"/>
    <w:semiHidden/>
    <w:unhideWhenUsed/>
  </w:style>
  <w:style w:customStyle="1" w:styleId="Heading1Char" w:type="character">
    <w:name w:val="Heading 1 Char"/>
    <w:basedOn w:val="DefaultParagraphFont"/>
    <w:link w:val="Heading1"/>
    <w:uiPriority w:val="9"/>
    <w:rsid w:val="00111FAE"/>
    <w:rPr>
      <w:rFonts w:asciiTheme="majorHAnsi" w:cstheme="majorBidi" w:eastAsiaTheme="majorEastAsia" w:hAnsiTheme="majorHAnsi"/>
      <w:b/>
      <w:bCs/>
      <w:color w:themeColor="accent1" w:themeShade="B5" w:val="345A8A"/>
      <w:sz w:val="32"/>
      <w:szCs w:val="32"/>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no" ?>
<Relationships xmlns="http://schemas.openxmlformats.org/package/2006/relationships">
  <Relationship Id="rId7" Target="webSettings.xml" Type="http://schemas.openxmlformats.org/officeDocument/2006/relationships/webSettings"/>
  <Relationship Id="rId6" Target="stylesWithEffects.xml" Type="http://schemas.microsoft.com/office/2007/relationships/stylesWithEffects"/>
  <Relationship Id="rId9" Target="numbering.xml" Type="http://schemas.openxmlformats.org/officeDocument/2006/relationships/numbering"/>
  <Relationship Id="rId5" Target="styles.xml" Type="http://schemas.openxmlformats.org/officeDocument/2006/relationships/styles"/>
  <Relationship Id="rId8" Target="theme/theme1.xml" Type="http://schemas.openxmlformats.org/officeDocument/2006/relationships/theme"/>
  <Relationship Id="rId4" Target="settings.xml" Type="http://schemas.openxmlformats.org/officeDocument/2006/relationships/settings"/>
  <Relationship Id="rId3" Target="fontTable.xml" Type="http://schemas.openxmlformats.org/officeDocument/2006/relationships/fontTable"/>
  <Relationship Id="rId2" Target="footer2.xml" Type="http://schemas.openxmlformats.org/officeDocument/2006/relationships/footer"/>
  <Relationship Id="rId1" Target="footer1.xml" Type="http://schemas.openxmlformats.org/officeDocument/2006/relationships/footer"/>
</Relationships>

</file>

<file path=word/theme/theme1.xml><?xml version="1.0" encoding="utf-8"?>
<a:theme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4="http://schemas.microsoft.com/office/spreadsheetml/2009/9/main" xmlns:xdr="http://schemas.openxmlformats.org/drawingml/2006/spreadsheetDrawing" xmlns:xm="http://schemas.microsoft.com/office/exce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XO Thames"/>
        <a:ea typeface=""/>
        <a:cs typeface=""/>
      </a:majorFont>
      <a:minorFont>
        <a:latin typeface="XO Thames"/>
        <a:ea typeface=""/>
        <a:cs typeface=""/>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a:solidFill>
            <a:schemeClr val="phClr">
              <a:shade val="95000"/>
              <a:satMod val="105000"/>
            </a:schemeClr>
          </a:solidFill>
        </a:ln>
        <a:ln>
          <a:solidFill>
            <a:schemeClr val="phClr"/>
          </a:solidFill>
        </a:ln>
        <a:ln>
          <a:solidFill>
            <a:schemeClr val="phClr"/>
          </a:solidFill>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theme>
</file>

<file path=docProps/app.xml><?xml version="1.0" encoding="utf-8"?>
<Properties xmlns="http://schemas.openxmlformats.org/officeDocument/2006/extended-properties">
  <Template>Normal.dotm</Template>
  <TotalTime>0</TotalTime>
  <DocSecurity>0</DocSecurity>
  <ScaleCrop>false</ScaleCrop>
  <Application>MyOffice-CoreFramework-Windows/25-982.666.6545.616.0@RELEASE-DESKTOP-WASSABI_HOME-RC-RENEW</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modified xsi:type="dcterms:W3CDTF">2025-12-26T09:12:11Z</dcterms:modified>
</cp:coreProperties>
</file>